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sz w:val="28"/>
        </w:rPr>
        <w:t>遠紫外円偏光二色性（CD）スペクトルの測定方法</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産業技術総合研究所</w:t>
      </w:r>
      <w:r w:rsidRPr="005C302B">
        <w:rPr>
          <w:rFonts w:ascii="ＭＳ 明朝" w:hAnsi="ＭＳ 明朝" w:hint="eastAsia"/>
          <w:b/>
        </w:rPr>
        <w:t>・セルエンジニアリング研究部門</w:t>
      </w:r>
    </w:p>
    <w:p w:rsidR="00B740BD" w:rsidRPr="004E536D" w:rsidRDefault="00B740BD" w:rsidP="001809A3">
      <w:pPr>
        <w:pStyle w:val="a8"/>
        <w:snapToGrid w:val="0"/>
        <w:jc w:val="both"/>
        <w:rPr>
          <w:rFonts w:ascii="ＭＳ 明朝" w:hAnsi="ＭＳ 明朝" w:cs="Osaka" w:hint="eastAsia"/>
          <w:b/>
          <w:bCs/>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萩原　義久</w:t>
      </w:r>
    </w:p>
    <w:p w:rsidR="007E0780" w:rsidRPr="005C302B" w:rsidRDefault="007E0780" w:rsidP="001809A3">
      <w:pPr>
        <w:pStyle w:val="a8"/>
        <w:snapToGrid w:val="0"/>
        <w:jc w:val="both"/>
        <w:rPr>
          <w:rFonts w:ascii="ＭＳ 明朝" w:hAnsi="ＭＳ 明朝" w:cs="Osaka" w:hint="eastAsia"/>
          <w:b/>
          <w:bCs/>
        </w:rPr>
      </w:pPr>
    </w:p>
    <w:p w:rsidR="007E0780" w:rsidRPr="007E0780" w:rsidRDefault="007E0780" w:rsidP="001809A3">
      <w:pPr>
        <w:pStyle w:val="a8"/>
        <w:snapToGrid w:val="0"/>
        <w:jc w:val="both"/>
        <w:rPr>
          <w:rFonts w:ascii="ＭＳ 明朝" w:hAnsi="ＭＳ 明朝" w:cs="Osaka" w:hint="eastAsia"/>
          <w:b/>
        </w:rPr>
      </w:pPr>
      <w:r w:rsidRPr="007E0780">
        <w:rPr>
          <w:rFonts w:ascii="ＭＳ 明朝" w:hAnsi="ＭＳ 明朝" w:cs="Osaka"/>
          <w:b/>
        </w:rPr>
        <w:t>The method to measure good CD spectra</w:t>
      </w:r>
    </w:p>
    <w:p w:rsidR="007E0780" w:rsidRPr="007E0780" w:rsidRDefault="007E0780" w:rsidP="001809A3">
      <w:pPr>
        <w:pStyle w:val="a8"/>
        <w:snapToGrid w:val="0"/>
        <w:jc w:val="both"/>
        <w:rPr>
          <w:rFonts w:ascii="ＭＳ 明朝" w:hAnsi="ＭＳ 明朝" w:cs="Osaka"/>
          <w:b/>
          <w:sz w:val="20"/>
          <w:szCs w:val="20"/>
        </w:rPr>
      </w:pPr>
      <w:r w:rsidRPr="007E0780">
        <w:rPr>
          <w:rFonts w:ascii="ＭＳ 明朝" w:hAnsi="ＭＳ 明朝" w:cs="Osaka"/>
          <w:b/>
          <w:sz w:val="20"/>
          <w:szCs w:val="20"/>
        </w:rPr>
        <w:t>National Institute of Advanced Industrial Science and Technology (AIST)</w:t>
      </w:r>
    </w:p>
    <w:p w:rsidR="007E0780" w:rsidRPr="005C302B" w:rsidRDefault="007E0780" w:rsidP="001809A3">
      <w:pPr>
        <w:pStyle w:val="a8"/>
        <w:snapToGrid w:val="0"/>
        <w:jc w:val="both"/>
        <w:rPr>
          <w:rFonts w:ascii="ＭＳ 明朝" w:hAnsi="ＭＳ 明朝" w:cs="Osaka" w:hint="eastAsia"/>
        </w:rPr>
      </w:pPr>
      <w:r w:rsidRPr="007E0780">
        <w:rPr>
          <w:rFonts w:ascii="ＭＳ 明朝" w:hAnsi="ＭＳ 明朝" w:cs="Osaka"/>
          <w:b/>
          <w:sz w:val="20"/>
          <w:szCs w:val="20"/>
        </w:rPr>
        <w:t>Yoshihisa Hagihara</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（投稿日2008/3/3、再投稿日2008/3/19、</w:t>
      </w:r>
      <w:r w:rsidRPr="005C302B">
        <w:rPr>
          <w:rFonts w:ascii="ＭＳ 明朝" w:hAnsi="ＭＳ 明朝" w:hint="eastAsia"/>
        </w:rPr>
        <w:t>受理日</w:t>
      </w:r>
      <w:r w:rsidRPr="005C302B">
        <w:rPr>
          <w:rFonts w:ascii="ＭＳ 明朝" w:hAnsi="ＭＳ 明朝" w:cs="Osaka" w:hint="eastAsia"/>
        </w:rPr>
        <w:t>2008/3/24）</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hint="eastAsia"/>
        </w:rPr>
        <w:t>キーワード：</w:t>
      </w:r>
      <w:r w:rsidRPr="005C302B">
        <w:rPr>
          <w:rFonts w:ascii="ＭＳ 明朝" w:hAnsi="ＭＳ 明朝" w:cs="Osaka" w:hint="eastAsia"/>
        </w:rPr>
        <w:t>円偏光二色性、CD、遠紫外、二次構造、溶媒の吸収</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概要</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遠紫外円偏光二色性（CD）スペクトルの測定により簡便に蛋白質の二次構造の有無や種類、含量を推定することが可能である。本稿では溶質の濃度や種類が測定結果に及す影響について論じるとともに、遠紫外CDスペクトルの測定方法を述べる。円二色分散計についてはAviv社やApplied Photophysics社など数社から販売されているが、ここでは日本分光株式会社のJ-820を例に取り解説する。なおCDの測定、理論やスペクトルの解釈については文献</w:t>
      </w:r>
      <w:r w:rsidRPr="005C302B">
        <w:rPr>
          <w:rFonts w:ascii="ＭＳ 明朝" w:hAnsi="ＭＳ 明朝" w:cs="Osaka"/>
        </w:rPr>
        <w:t>(</w:t>
      </w:r>
      <w:r w:rsidRPr="005C302B">
        <w:rPr>
          <w:rFonts w:ascii="ＭＳ 明朝" w:hAnsi="ＭＳ 明朝" w:cs="Osaka" w:hint="eastAsia"/>
        </w:rPr>
        <w:t>1,2</w:t>
      </w:r>
      <w:r w:rsidRPr="005C302B">
        <w:rPr>
          <w:rFonts w:ascii="ＭＳ 明朝" w:hAnsi="ＭＳ 明朝" w:cs="Osaka"/>
        </w:rPr>
        <w:t>)</w:t>
      </w:r>
      <w:r w:rsidRPr="005C302B">
        <w:rPr>
          <w:rFonts w:ascii="ＭＳ 明朝" w:hAnsi="ＭＳ 明朝" w:cs="Osaka" w:hint="eastAsia"/>
        </w:rPr>
        <w:t>も合わせてご参考下さればと思う。</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装置・器具・試薬</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円二色分散計（J-820、日本分光株式会社）（図１）</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ペルチェ式恒温キュベットホルダー（PTC-423L 日本分光株式会社）</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分光光度計用キュベット、合成石英、光路長 1mm</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実験手順</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１）実験条件の検討</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２）サンプル調製と測定</w:t>
      </w: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rPr>
        <w:t>３）スペクトル解析</w:t>
      </w: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br w:type="page"/>
      </w:r>
      <w:r w:rsidRPr="005C302B">
        <w:rPr>
          <w:rFonts w:ascii="ＭＳ 明朝" w:hAnsi="ＭＳ 明朝" w:cs="Osaka" w:hint="eastAsia"/>
          <w:b/>
          <w:bCs/>
        </w:rPr>
        <w:lastRenderedPageBreak/>
        <w:t>実験の詳細</w:t>
      </w:r>
    </w:p>
    <w:p w:rsidR="00B740BD" w:rsidRPr="005C302B" w:rsidRDefault="00B740BD" w:rsidP="001809A3">
      <w:pPr>
        <w:snapToGrid w:val="0"/>
        <w:jc w:val="both"/>
        <w:rPr>
          <w:rFonts w:ascii="ＭＳ 明朝" w:hAnsi="ＭＳ 明朝" w:cs="Osaka" w:hint="eastAsia"/>
          <w:color w:val="auto"/>
        </w:rPr>
      </w:pPr>
      <w:bookmarkStart w:id="0" w:name="サンプル調製2"/>
      <w:r w:rsidRPr="005C302B">
        <w:rPr>
          <w:rFonts w:ascii="ＭＳ 明朝" w:hAnsi="ＭＳ 明朝" w:cs="Osaka" w:hint="eastAsia"/>
          <w:color w:val="auto"/>
        </w:rPr>
        <w:t>１）</w:t>
      </w:r>
      <w:bookmarkEnd w:id="0"/>
      <w:r w:rsidRPr="005C302B">
        <w:rPr>
          <w:rFonts w:ascii="ＭＳ 明朝" w:hAnsi="ＭＳ 明朝" w:cs="Osaka" w:hint="eastAsia"/>
          <w:color w:val="auto"/>
        </w:rPr>
        <w:t>実験条件の検討</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ノイズの少ない美しい遠紫外CDスペクトルを測定するためには、蛋白質、バッファーや塩などの溶質による紫外光の吸収を考慮する必要がある。なお本稿で示すデータは日本分光のJ-820を使用し20℃で測定して得られたものであ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本稿では全て光路長1mmの角形キュベットを使用しているが、CD測定では様々な種類のキュベット、例えば光路長0.1mmの円筒形キュベットや400mmの角形キュベットなど、を使用する事が可能である。1mmのキュベットでは蛋白質濃度は以下に述べるが0.1mg/mL程度が適切である。光路長の異なるセルを使う場合、例えば、10mmのキュベットを利用すれば、蛋白質濃度は1/10（0.01mg/mL）で同じシグナルが得られる。しかし、光路長が大きくなればそれだけ溶媒、つまり水、バッファーや塩による吸収が大きくなり、ノイズが大きくなる。この点では、光路長は短いほど良い。一方でキュベットの洗浄、サンプル注入などを考慮するとあまりに光路長の短いキュベットは使いにくく、1mmの角形キュベットが一般的な使用には向いているのではないかと思う。</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まず測定に使用するバッファーについての注意点を述べる。バッファーとして酸性領域ではクエン酸、グリシンや酢酸、中性領域ではリン酸、</w:t>
      </w:r>
      <w:r w:rsidRPr="005C302B">
        <w:rPr>
          <w:rFonts w:ascii="ＭＳ 明朝" w:hAnsi="ＭＳ 明朝" w:cs="Osaka"/>
        </w:rPr>
        <w:t>Tris</w:t>
      </w:r>
      <w:r w:rsidRPr="005C302B">
        <w:rPr>
          <w:rFonts w:ascii="ＭＳ 明朝" w:hAnsi="ＭＳ 明朝" w:cs="Osaka" w:hint="eastAsia"/>
        </w:rPr>
        <w:t>の使用が一般的である。そこでこれらバッファーについて濃度100mMで受光部ホトマルの電圧とCDを測定し、紫外光の吸収及びこれがスペクトルのノイズに及ぼす影響を調べた（図2A）。ホトマルの電圧は光量が少ない程、つまり測定サンプルの吸光度が大きいほど高い値を示す。通常の蛋白質測定ではシグナル強度は数十mdegの範囲であり、機種や機器の状態によるが、当研究室のJ-820ではホトマルの電圧が500Vを超えるとCD測定ノイズが実際のシグナルに影響を及ぼす程大きくなる。ここでは各バッファー間の差がわかり易い様に100mMと高濃度のバッファーを利用している、Trisやクエン酸では溶媒の吸収が大きいことがわかる。しかし、実際の測定では20mM以下のバッファー濃度で測定する機会が多い。そのため、Trisやクエン酸でもホトマルの電圧は500V以下になると考えられ、測定値には大きな影響を及ぼさないと考えられ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DTTやEDTAもサンプルに添加して使うことが多い。これらは比較的低濃度で用いられるものであるため、それぞれ5mMと2mMで測定を行った。図2Bで示すように、いずれの添加物も紫外部の吸収が大きいことがわかる。EDTAは測定条件よりも低い、例えば1mM程度であるならばさほど影響は無い。しかし、DTTでは5mMと通常使用するような濃度であってもHTの電圧は210nmで500程度となりスペクトルに無視できない影響を与える。還元状態での測定が必要なサンプルでは、測定溶液を脱気などすることで溶存酸素量を減少させ、DTTの濃度は可能な限り低くする必要がある。次に塩濃度の影響を調べるために、NaCl濃度を0、150、500mMと変化させ20mMTris-HCl（pH8.5）の存在下でホトマル電圧とスペクトルの測定を行った（図2C）。NaClは吸収の少ない溶質であるが、濃度が高い場合にはその影響は無視できない。そのため生理的な濃度の塩をサンプル溶液に加える場合であっても、共存させるバッファー種、濃度、さらには蛋白質濃度を綿密に検討す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lastRenderedPageBreak/>
        <w:t xml:space="preserve">　続いて卵白リゾチームについて、20mMTris-HCl（pH8.5）の存在下、蛋白質濃度を0.03、0.11、0.29mg/mL（それぞれ2、7.7、20μM）に変化させ、蛋白質濃度がスペクトルに及ぼす影響を調べた（図3A）。リゾチーム濃度の決定は変性剤中でトリプトファン、チロシン、シスチンの紫外吸収により決定した</w:t>
      </w:r>
      <w:r w:rsidRPr="005C302B">
        <w:rPr>
          <w:rFonts w:ascii="ＭＳ 明朝" w:hAnsi="ＭＳ 明朝" w:cs="Osaka"/>
        </w:rPr>
        <w:t>(</w:t>
      </w:r>
      <w:r w:rsidRPr="005C302B">
        <w:rPr>
          <w:rFonts w:ascii="ＭＳ 明朝" w:hAnsi="ＭＳ 明朝" w:cs="Osaka" w:hint="eastAsia"/>
        </w:rPr>
        <w:t>3）。下のグラフの縦軸は、楕円率を平均残基モル楕円率［θ］に換算しており、そのため濃度の補正がかけられている。0.29mg/mLのサンプルでは短波長側で高電圧となりノイズが過大で測定値が大きく振れるため正確な値が得られていない。一方、0.03mg/mLのサンプルではシグナル強度の低下のため平均残基モル楕円率に直すと全体にノイズが見られる。0.11mg/mLでの測定ではホトマルの電圧もほぼ全域にわたり適正かつCDスペクトルのノイズも少なく、この中では最も良好なデータが得られた。このように一般的な遠紫外領域のスペクトル測定を光路長1mmのキュベットを利用して行う場合には、蛋白質濃度が0.1mg/mL程度が最適である。ただし、注意したいのは、熱変性、変性剤による変性、リフォールディングのキネティクスなど特定の波長でCDの変化を測定する場合である。こうした実験では測定波長に合った蛋白質濃度を選択することでノイズがより少ないデータを得ることができる。上記のスペクトルと同条件で波長を222nmに固定して測定を行ったのが図3Bである。このように、222nmでの測定では0.29mg/mLのサンプルがノイズが少なく、図には示していないがホトマルの電圧からも適切な楕円率が得られていると思われ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どのような分光測定にも言える事だが、スペクトルの積算を行えば、データのノイズを減らす事ができる。ノイズに対するシグナルの比率（S/N比）は積算回数の平方根に比例して増加する。つまり、S/N比を倍にするためには積算回数を４倍にすれば良い。積算回数を増やすことによりノイズは減少するが、回数に応じて測定時間も長くなる。実際に測定したスペクトル及び測定時間を検討しながら積算回数を決めて行く必要がある。</w:t>
      </w:r>
    </w:p>
    <w:p w:rsidR="004E536D" w:rsidRDefault="004E536D" w:rsidP="001809A3">
      <w:pPr>
        <w:pStyle w:val="a8"/>
        <w:snapToGrid w:val="0"/>
        <w:jc w:val="both"/>
        <w:rPr>
          <w:rFonts w:ascii="ＭＳ 明朝" w:hAnsi="ＭＳ 明朝" w:cs="Osaka"/>
        </w:rPr>
      </w:pPr>
    </w:p>
    <w:p w:rsidR="00B740BD" w:rsidRPr="005C302B" w:rsidRDefault="00A256FF" w:rsidP="001809A3">
      <w:pPr>
        <w:pStyle w:val="a8"/>
        <w:snapToGrid w:val="0"/>
        <w:jc w:val="both"/>
        <w:rPr>
          <w:rFonts w:ascii="ＭＳ 明朝" w:hAnsi="ＭＳ 明朝" w:cs="Osaka" w:hint="eastAsia"/>
        </w:rPr>
      </w:pPr>
      <w:r>
        <w:rPr>
          <w:rFonts w:ascii="ＭＳ 明朝" w:hAnsi="ＭＳ 明朝" w:cs="Osaka"/>
        </w:rPr>
        <w:br w:type="page"/>
      </w:r>
      <w:r w:rsidR="00B740BD" w:rsidRPr="005C302B">
        <w:rPr>
          <w:rFonts w:ascii="ＭＳ 明朝" w:hAnsi="ＭＳ 明朝" w:cs="Osaka" w:hint="eastAsia"/>
        </w:rPr>
        <w:lastRenderedPageBreak/>
        <w:t>２）サンプル調製と測定</w:t>
      </w:r>
    </w:p>
    <w:p w:rsidR="00B740BD" w:rsidRPr="005C302B" w:rsidRDefault="00B740BD" w:rsidP="001809A3">
      <w:pPr>
        <w:snapToGrid w:val="0"/>
        <w:jc w:val="both"/>
        <w:rPr>
          <w:rFonts w:ascii="ＭＳ 明朝" w:hAnsi="ＭＳ 明朝" w:cs="Osaka" w:hint="eastAsia"/>
          <w:color w:val="auto"/>
        </w:rPr>
      </w:pPr>
      <w:r w:rsidRPr="005C302B">
        <w:rPr>
          <w:rFonts w:ascii="ＭＳ 明朝" w:hAnsi="ＭＳ 明朝" w:cs="Osaka" w:hint="eastAsia"/>
          <w:color w:val="auto"/>
        </w:rPr>
        <w:t xml:space="preserve">　一回の遠紫外CDスペクトル測定で必要とされるサンプル溶液量は光路長1mmのキュベットでは約300μLである。蛋白質濃度は0.1mg/mL程度が適切であるから、30μgの蛋白質があればCDスペクトルを取得できる。ほこり等</w:t>
      </w:r>
      <w:bookmarkStart w:id="1" w:name="_GoBack"/>
      <w:bookmarkEnd w:id="1"/>
      <w:r w:rsidRPr="005C302B">
        <w:rPr>
          <w:rFonts w:ascii="ＭＳ 明朝" w:hAnsi="ＭＳ 明朝" w:cs="Osaka" w:hint="eastAsia"/>
          <w:color w:val="auto"/>
        </w:rPr>
        <w:t>を除くためバッファー、蛋白質原液、希釈用の水はフィルターをかけることが望ましい。これらを1.5mLのチューブ中で混合、希釈して測定用サンプルを調製するが、その際ほこりなどが混入しないように注意する。準備したサンプルをキュベットに移し、ほこり、サンプルの白濁が見られないか蛍光灯などにかざして目視で調べる。</w:t>
      </w:r>
    </w:p>
    <w:p w:rsidR="00B740BD" w:rsidRPr="005C302B" w:rsidRDefault="00B740BD" w:rsidP="001809A3">
      <w:pPr>
        <w:snapToGrid w:val="0"/>
        <w:jc w:val="both"/>
        <w:rPr>
          <w:rFonts w:ascii="ＭＳ 明朝" w:hAnsi="ＭＳ 明朝" w:cs="Osaka" w:hint="eastAsia"/>
          <w:color w:val="auto"/>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円二色分散計立ち上げと暖機に1時間程度かかる。そのため、サンプル調製前に機器の立ち上げを行う。まずは光路系内部の空気を窒素ガスで置換する。著者の場合10L/minの流量で15分ほどかけている。さらにランプハウス冷却用のサーキュレーターを起動、またペルチェ素子を利用した恒温キュベットホルダー（図1B）を冷却するために水道水を流す。J-820の場合は機器の立ち上げ後、設定した時間で自動的にランプの点灯が行われる。他の機種ではこの機能はついていないため、まずは窒素ガスを15分程度流した後に機器を立ち上げ、手動でランプを点灯する。ランプ点灯後、機器の安定化のために</w:t>
      </w:r>
      <w:r w:rsidRPr="005C302B">
        <w:rPr>
          <w:rFonts w:ascii="ＭＳ 明朝" w:hAnsi="ＭＳ 明朝" w:cs="Osaka"/>
        </w:rPr>
        <w:t>30</w:t>
      </w:r>
      <w:r w:rsidRPr="005C302B">
        <w:rPr>
          <w:rFonts w:ascii="ＭＳ 明朝" w:hAnsi="ＭＳ 明朝" w:cs="Osaka" w:hint="eastAsia"/>
        </w:rPr>
        <w:t>分から</w:t>
      </w:r>
      <w:r w:rsidRPr="005C302B">
        <w:rPr>
          <w:rFonts w:ascii="ＭＳ 明朝" w:hAnsi="ＭＳ 明朝" w:cs="Osaka"/>
        </w:rPr>
        <w:t>1</w:t>
      </w:r>
      <w:r w:rsidRPr="005C302B">
        <w:rPr>
          <w:rFonts w:ascii="ＭＳ 明朝" w:hAnsi="ＭＳ 明朝" w:cs="Osaka" w:hint="eastAsia"/>
        </w:rPr>
        <w:t>時間待つことにしている。この時間を利用してサンプル調製を行うと効率よく実験を進められる。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測定は任意の温度で行うことができるが、夏場など高温多湿な時期には低温域（10℃以下）で測定しようとするとキュベットに霜がつく場合がある。結露の怖れがある時には、実験室の室温を下げる、窒素をキュベット室に多めに流すなどの方法で対処す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測定後は、蛋白質溶液の測定毎にキュベット洗浄を行う。著者は細身の注射針に薄く脱脂綿を巻いたものを使用して、中性洗剤に浸したキュベット内部を洗浄している。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３）スペクトル解析</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得られたデータは日本分光のバイナリ(.jws)とテキスト（.txt）の二つのフォーマットで保存する。解析に使うデータはテキストデータであり、1列目には測定波長、2列目には測定値である楕円率(ミリdegree単位である事に注意)、3列目にはホトマル電圧が格納されている。バイナリデータには機器パラメーターの設定値や測定温度が記載されており、同時に保存しておけば後々確認でき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測定データとして得られるのは楕円率θである。平均モル残基楕円率［θ］(deg·cm</w:t>
      </w:r>
      <w:r w:rsidRPr="005C302B">
        <w:rPr>
          <w:rFonts w:ascii="ＭＳ 明朝" w:hAnsi="ＭＳ 明朝" w:cs="Osaka" w:hint="eastAsia"/>
          <w:vertAlign w:val="superscript"/>
        </w:rPr>
        <w:t>２</w:t>
      </w:r>
      <w:r w:rsidRPr="005C302B">
        <w:rPr>
          <w:rFonts w:ascii="ＭＳ 明朝" w:hAnsi="ＭＳ 明朝" w:cs="Osaka" w:hint="eastAsia"/>
        </w:rPr>
        <w:t>/dmol)は以下の式１により換算される。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［θ］=θ·100 /(l·c·A)　　　　　　　　　　　　　　　　　　　式１</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lはcm単位の光路長、cは蛋白質のモル濃度、Aは測定した蛋白質のアミノ酸数である。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スペクトルから測定した蛋白質の二次構造を推測する。α-ヘリックスを多く含む蛋白質は208及び222nmに負のピークを示す。ポリグルタミン酸を用いた研究ではポリペプチド鎖が完全なヘリックスを形成した場合、222nmの平均モル残基楕円率は約40,000と考えられて</w:t>
      </w:r>
      <w:r w:rsidRPr="005C302B">
        <w:rPr>
          <w:rFonts w:ascii="ＭＳ 明朝" w:hAnsi="ＭＳ 明朝" w:cs="Osaka" w:hint="eastAsia"/>
        </w:rPr>
        <w:lastRenderedPageBreak/>
        <w:t>いる</w:t>
      </w:r>
      <w:r w:rsidRPr="005C302B">
        <w:rPr>
          <w:rFonts w:ascii="ＭＳ 明朝" w:hAnsi="ＭＳ 明朝" w:cs="Osaka"/>
        </w:rPr>
        <w:t>(</w:t>
      </w:r>
      <w:r w:rsidRPr="005C302B">
        <w:rPr>
          <w:rFonts w:ascii="ＭＳ 明朝" w:hAnsi="ＭＳ 明朝" w:cs="Osaka" w:hint="eastAsia"/>
        </w:rPr>
        <w:t>4,5)。一方で蛋白質の結晶構造とCDスペクトルから計算された、蛋白質質中のα-ヘリックスが呈す222nmの平均モル残基楕円率は30,000であるといわれる</w:t>
      </w:r>
      <w:r w:rsidRPr="005C302B">
        <w:rPr>
          <w:rFonts w:ascii="ＭＳ 明朝" w:hAnsi="ＭＳ 明朝" w:cs="Osaka"/>
        </w:rPr>
        <w:t>(</w:t>
      </w:r>
      <w:r w:rsidRPr="005C302B">
        <w:rPr>
          <w:rFonts w:ascii="ＭＳ 明朝" w:hAnsi="ＭＳ 明朝" w:cs="Osaka" w:hint="eastAsia"/>
        </w:rPr>
        <w:t>6)。β構造を多く持つ蛋白質は215nm付近に負のピークを示すことが多いが、蛋白質の種類によりスペクトル形状が異なり、判断が難しい。ランダムコイル構造では200nm付近に負のピークが見られる特徴的なスペクトルが得られる。溶媒条件によりポリリジンの呈する典型的な各種二次構造のスペクトルを図4に示す</w:t>
      </w:r>
      <w:r w:rsidRPr="005C302B">
        <w:rPr>
          <w:rFonts w:ascii="ＭＳ 明朝" w:hAnsi="ＭＳ 明朝" w:cs="Osaka"/>
        </w:rPr>
        <w:t>(</w:t>
      </w:r>
      <w:r w:rsidRPr="005C302B">
        <w:rPr>
          <w:rFonts w:ascii="ＭＳ 明朝" w:hAnsi="ＭＳ 明朝" w:cs="Osaka" w:hint="eastAsia"/>
        </w:rPr>
        <w:t>7)。</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図5に著者が測定した数種類の蛋白質の遠紫外CDスペクトルを示す。左側のパネルAのスペクトルは構造既知の蛋白質、そして右側のパネルBは構造未知の精子蛋白質由来フラグメントのものである。リゾチームは結晶構造が解かれており、α-ヘリックスとβ構造の両方を持つことが知られている。CDスペクトルからリゾチームはα構造を中程度に含み、その他の構造も同時に持つことがわかる。一方、二つの免疫グロブリン由来ドメイン、ラマVHHドメイン、ヒトCLドメインではα-へリックスをほとんど含まないことがわかる。結晶構造からこれらのドメインは非常に良く似た構造を形成しており、二次構造のほぼ全てがβ構造及びそれをつなげるループからなっている。構造は酷似しているが、ここで示したように異なるCDスペクトルを示す。</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構造未知の精子蛋白質由来フラグメントAは208nmと222nmに負のピークがあり、リゾチームに比較して負の強度も大きい。このことからフラグメントAはかなり高いヘリックス含量（50～80％）を持つものと考えられる。一方、フラグメントBは典型的なランダム構造のスペクトルであり、このフラグメントは溶液中で変性していることがわかる。このように構造未知の蛋白質であってもCDを利用すれば、少量のサンプルで短時間に測定した蛋白質が立体構造を保持しているのか否か（つまり変性しているのかしていないのか）、構造を持つとすればどのような二次構造を持っているのか、を調べることができ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CDの利点は少量のサンプルしか必要でないこと、時間がかからないこと及び機器操作の簡便さにある。こうした利点により、蛋白質科学のみならず様々な分野での研究にCDを活用できるものと思う。本プロトコールが微力ながら役立てば幸いであ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rPr>
        <w:br w:type="page"/>
      </w:r>
      <w:r w:rsidRPr="005C302B">
        <w:rPr>
          <w:rFonts w:ascii="ＭＳ 明朝" w:hAnsi="ＭＳ 明朝" w:cs="Osaka" w:hint="eastAsia"/>
          <w:b/>
          <w:bCs/>
        </w:rPr>
        <w:lastRenderedPageBreak/>
        <w:t>工夫とコツ</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b/>
          <w:bCs/>
        </w:rPr>
        <w:t>窒素ガス発生装置</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CD測定では常に窒素ガスを光学系に流す必要がある。そのため、CDの測定では大量の窒素ガスを消費し、高圧ボンベでこれを賄うためには頻繁なボンベ交換が必要となる。また、ボンベ設置、高圧ガス配管は手続きが煩雑かつコストがかかる。そこで最近は窒素ガス発生装置をボンベ代わりに使用する研究室も多い。著者の所属する研究部門ではコフロックのMODEL M3NT-10という窒素ガス発生装置を使用している。百数十万円と高価だが、内部エアフィルターの水抜き（１分程度）以外はメンテナンスフリーであり、ボンベ交換から開放され大変重宝している。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CD用キュベット</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以前は比較的安価な分光光度計用の合成石英製キュベットを利用していた。一度、ブランクの値が大きなものに当たったことがある。大きなブランクは合成石英自身の偏光性に由来するものであり、これは通常の分光光度計用キュベットでは検品時に確認されない性質である。その後はかなり高価だが、著者はCD用に検品されたキュベット（例えば日本分光株式会社製）を購入するようにしてい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rPr>
      </w:pPr>
      <w:r w:rsidRPr="005C302B">
        <w:rPr>
          <w:rFonts w:ascii="ＭＳ 明朝" w:hAnsi="ＭＳ 明朝" w:cs="Osaka" w:hint="eastAsia"/>
          <w:b/>
        </w:rPr>
        <w:t>測定の機器パラメーター</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　測定のための機器パラメーターや最適値は機種により異なるため、付属の取り扱い説明書を参照する、頻繁にCDを利用しているユーザーに問い合わせる、などして設定する。参考までに著者がJ-820を使う場合の条件を以下に示す。この条件では一回の測定に12分程度かかる。</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測定波長　250-195nm</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バンド幅　1nm</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レスポンス　4sec</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感度　スタンダード</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走査速度　20nm/分</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積算回数　４回</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データ取り込み間隔　0.5nm</w:t>
      </w:r>
    </w:p>
    <w:p w:rsidR="00B740BD" w:rsidRPr="005C302B" w:rsidRDefault="00B740BD" w:rsidP="001809A3">
      <w:pPr>
        <w:pStyle w:val="a8"/>
        <w:snapToGrid w:val="0"/>
        <w:jc w:val="both"/>
        <w:rPr>
          <w:rFonts w:ascii="ＭＳ 明朝" w:hAnsi="ＭＳ 明朝" w:cs="Osaka" w:hint="eastAsia"/>
        </w:rPr>
      </w:pPr>
    </w:p>
    <w:p w:rsidR="00B740BD" w:rsidRPr="005C302B" w:rsidRDefault="00B740BD" w:rsidP="001809A3">
      <w:pPr>
        <w:pStyle w:val="a8"/>
        <w:snapToGrid w:val="0"/>
        <w:jc w:val="both"/>
        <w:rPr>
          <w:rFonts w:ascii="ＭＳ 明朝" w:hAnsi="ＭＳ 明朝" w:cs="Osaka" w:hint="eastAsia"/>
          <w:b/>
          <w:bCs/>
        </w:rPr>
      </w:pPr>
      <w:r w:rsidRPr="005C302B">
        <w:rPr>
          <w:rFonts w:ascii="ＭＳ 明朝" w:hAnsi="ＭＳ 明朝" w:cs="Osaka" w:hint="eastAsia"/>
          <w:b/>
          <w:bCs/>
        </w:rPr>
        <w:t>文献</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bCs/>
        </w:rPr>
        <w:t>1)</w:t>
      </w:r>
      <w:r w:rsidRPr="005C302B">
        <w:rPr>
          <w:rFonts w:ascii="ＭＳ 明朝" w:hAnsi="ＭＳ 明朝" w:cs="Osaka" w:hint="eastAsia"/>
          <w:b/>
          <w:bCs/>
        </w:rPr>
        <w:t xml:space="preserve"> </w:t>
      </w:r>
      <w:r w:rsidRPr="005C302B">
        <w:rPr>
          <w:rFonts w:ascii="ＭＳ 明朝" w:hAnsi="ＭＳ 明朝" w:cs="ヒラギノ丸ゴ Pro W4" w:hint="eastAsia"/>
          <w:kern w:val="0"/>
          <w:szCs w:val="28"/>
        </w:rPr>
        <w:t xml:space="preserve">小笠原京子 </w:t>
      </w:r>
      <w:r w:rsidRPr="005C302B">
        <w:rPr>
          <w:rFonts w:ascii="ＭＳ 明朝" w:hAnsi="ＭＳ 明朝" w:cs="Osaka" w:hint="eastAsia"/>
        </w:rPr>
        <w:t xml:space="preserve">&amp; </w:t>
      </w:r>
      <w:r w:rsidRPr="005C302B">
        <w:rPr>
          <w:rFonts w:ascii="ＭＳ 明朝" w:hAnsi="ＭＳ 明朝" w:cs="ヒラギノ丸ゴ Pro W4" w:hint="eastAsia"/>
          <w:kern w:val="0"/>
          <w:szCs w:val="28"/>
        </w:rPr>
        <w:t xml:space="preserve">油谷克英, </w:t>
      </w:r>
      <w:r w:rsidRPr="005C302B">
        <w:rPr>
          <w:rFonts w:ascii="ＭＳ 明朝" w:hAnsi="ＭＳ 明朝" w:cs="ヒラギノ丸ゴ Pro W4" w:hint="eastAsia"/>
          <w:i/>
          <w:kern w:val="0"/>
          <w:szCs w:val="42"/>
        </w:rPr>
        <w:t>バイオ高性能機器･新技術利用マニュアル</w:t>
      </w:r>
      <w:r w:rsidRPr="005C302B">
        <w:rPr>
          <w:rFonts w:ascii="ＭＳ 明朝" w:hAnsi="ＭＳ 明朝" w:cs="ヒラギノ丸ゴ Pro W4" w:hint="eastAsia"/>
          <w:kern w:val="0"/>
          <w:szCs w:val="42"/>
        </w:rPr>
        <w:t xml:space="preserve"> (</w:t>
      </w:r>
      <w:r w:rsidRPr="005C302B">
        <w:rPr>
          <w:rFonts w:ascii="ＭＳ 明朝" w:hAnsi="ＭＳ 明朝" w:cs="Osaka" w:hint="eastAsia"/>
          <w:bCs/>
          <w:i/>
        </w:rPr>
        <w:t>蛋白質 核酸 酵素増刊号：</w:t>
      </w:r>
      <w:r w:rsidRPr="005C302B">
        <w:rPr>
          <w:rFonts w:ascii="ＭＳ 明朝" w:hAnsi="ＭＳ 明朝" w:cs="ヒラギノ丸ゴ Pro W4" w:hint="eastAsia"/>
          <w:kern w:val="0"/>
          <w:szCs w:val="34"/>
        </w:rPr>
        <w:t>小原 收・谷口寿章・市川哲生・猪飼 篤 編</w:t>
      </w:r>
      <w:r w:rsidRPr="005C302B">
        <w:rPr>
          <w:rFonts w:ascii="ＭＳ 明朝" w:hAnsi="ＭＳ 明朝" w:cs="Osaka" w:hint="eastAsia"/>
          <w:bCs/>
        </w:rPr>
        <w:t>)</w:t>
      </w:r>
      <w:r w:rsidRPr="005C302B">
        <w:rPr>
          <w:rFonts w:ascii="ＭＳ 明朝" w:hAnsi="ＭＳ 明朝" w:cs="Osaka" w:hint="eastAsia"/>
          <w:b/>
          <w:bCs/>
        </w:rPr>
        <w:t>,</w:t>
      </w:r>
      <w:r w:rsidRPr="005C302B">
        <w:rPr>
          <w:rFonts w:ascii="ＭＳ 明朝" w:hAnsi="ＭＳ 明朝" w:cs="Osaka" w:hint="eastAsia"/>
          <w:bCs/>
        </w:rPr>
        <w:t xml:space="preserve"> </w:t>
      </w:r>
      <w:r w:rsidRPr="005C302B">
        <w:rPr>
          <w:rFonts w:ascii="ＭＳ 明朝" w:hAnsi="ＭＳ 明朝" w:cs="Osaka" w:hint="eastAsia"/>
          <w:b/>
          <w:bCs/>
        </w:rPr>
        <w:t xml:space="preserve">49, </w:t>
      </w:r>
      <w:r w:rsidRPr="005C302B">
        <w:rPr>
          <w:rFonts w:ascii="ＭＳ 明朝" w:hAnsi="ＭＳ 明朝" w:cs="Osaka" w:hint="eastAsia"/>
          <w:bCs/>
        </w:rPr>
        <w:t>1668-75 (2004)</w:t>
      </w:r>
    </w:p>
    <w:p w:rsidR="00B740BD" w:rsidRPr="005C302B" w:rsidRDefault="00B740BD" w:rsidP="001809A3">
      <w:pPr>
        <w:snapToGrid w:val="0"/>
        <w:jc w:val="both"/>
        <w:rPr>
          <w:rFonts w:ascii="ＭＳ 明朝" w:hAnsi="ＭＳ 明朝" w:cs="Osaka" w:hint="eastAsia"/>
          <w:color w:val="auto"/>
        </w:rPr>
      </w:pPr>
      <w:r w:rsidRPr="005C302B">
        <w:rPr>
          <w:rFonts w:ascii="ＭＳ 明朝" w:hAnsi="ＭＳ 明朝" w:cs="Osaka" w:hint="eastAsia"/>
          <w:color w:val="auto"/>
        </w:rPr>
        <w:t xml:space="preserve">2） 浜口浩三 &amp; 武貞啓子, </w:t>
      </w:r>
      <w:r w:rsidRPr="005C302B">
        <w:rPr>
          <w:rFonts w:ascii="ＭＳ 明朝" w:hAnsi="ＭＳ 明朝" w:cs="Osaka" w:hint="eastAsia"/>
          <w:i/>
          <w:iCs/>
          <w:color w:val="auto"/>
        </w:rPr>
        <w:t>蛋白質の旋光性 (生物化学実験法 6)</w:t>
      </w:r>
      <w:r w:rsidRPr="005C302B">
        <w:rPr>
          <w:rFonts w:ascii="ＭＳ 明朝" w:hAnsi="ＭＳ 明朝" w:cs="Osaka" w:hint="eastAsia"/>
          <w:color w:val="auto"/>
        </w:rPr>
        <w:t>, 学会出版センター (1971)</w:t>
      </w:r>
    </w:p>
    <w:p w:rsidR="00B740BD" w:rsidRPr="005C302B" w:rsidRDefault="00B740BD" w:rsidP="001809A3">
      <w:pPr>
        <w:snapToGrid w:val="0"/>
        <w:jc w:val="both"/>
        <w:rPr>
          <w:rFonts w:ascii="ＭＳ 明朝" w:hAnsi="ＭＳ 明朝" w:cs="Osaka" w:hint="eastAsia"/>
          <w:color w:val="auto"/>
        </w:rPr>
      </w:pPr>
      <w:r w:rsidRPr="005C302B">
        <w:rPr>
          <w:rFonts w:ascii="ＭＳ 明朝" w:hAnsi="ＭＳ 明朝" w:cs="Osaka" w:hint="eastAsia"/>
          <w:color w:val="auto"/>
        </w:rPr>
        <w:t xml:space="preserve">3) Edelhoch, H., </w:t>
      </w:r>
      <w:r w:rsidRPr="005C302B">
        <w:rPr>
          <w:rFonts w:ascii="ＭＳ 明朝" w:hAnsi="ＭＳ 明朝" w:cs="Osaka" w:hint="eastAsia"/>
          <w:i/>
          <w:iCs/>
          <w:color w:val="auto"/>
        </w:rPr>
        <w:t>Biochemistry</w:t>
      </w:r>
      <w:r w:rsidRPr="005C302B">
        <w:rPr>
          <w:rFonts w:ascii="ＭＳ 明朝" w:hAnsi="ＭＳ 明朝" w:cs="Osaka" w:hint="eastAsia"/>
          <w:color w:val="auto"/>
        </w:rPr>
        <w:t xml:space="preserve">, </w:t>
      </w:r>
      <w:r w:rsidRPr="005C302B">
        <w:rPr>
          <w:rFonts w:ascii="ＭＳ 明朝" w:hAnsi="ＭＳ 明朝" w:cs="Osaka" w:hint="eastAsia"/>
          <w:b/>
          <w:bCs/>
          <w:color w:val="auto"/>
        </w:rPr>
        <w:t>6</w:t>
      </w:r>
      <w:r w:rsidRPr="005C302B">
        <w:rPr>
          <w:rFonts w:ascii="ＭＳ 明朝" w:hAnsi="ＭＳ 明朝" w:cs="Osaka" w:hint="eastAsia"/>
          <w:color w:val="auto"/>
        </w:rPr>
        <w:t>, 1948-54 (1967)</w:t>
      </w:r>
    </w:p>
    <w:p w:rsidR="00B740BD" w:rsidRPr="005C302B" w:rsidRDefault="00B740BD" w:rsidP="001809A3">
      <w:pPr>
        <w:snapToGrid w:val="0"/>
        <w:jc w:val="both"/>
        <w:rPr>
          <w:rFonts w:ascii="ＭＳ 明朝" w:hAnsi="ＭＳ 明朝" w:cs="Osaka" w:hint="eastAsia"/>
          <w:b/>
          <w:bCs/>
          <w:color w:val="auto"/>
        </w:rPr>
      </w:pPr>
      <w:r w:rsidRPr="005C302B">
        <w:rPr>
          <w:rFonts w:ascii="ＭＳ 明朝" w:hAnsi="ＭＳ 明朝" w:cs="Osaka" w:hint="eastAsia"/>
          <w:color w:val="auto"/>
        </w:rPr>
        <w:t xml:space="preserve">4) Holzwarth, G. &amp; Doty, P., </w:t>
      </w:r>
      <w:r w:rsidRPr="005C302B">
        <w:rPr>
          <w:rFonts w:ascii="ＭＳ 明朝" w:hAnsi="ＭＳ 明朝" w:cs="Osaka" w:hint="eastAsia"/>
          <w:i/>
          <w:iCs/>
          <w:color w:val="auto"/>
        </w:rPr>
        <w:t>J. Am. Chem. Soc.</w:t>
      </w:r>
      <w:r w:rsidRPr="005C302B">
        <w:rPr>
          <w:rFonts w:ascii="ＭＳ 明朝" w:hAnsi="ＭＳ 明朝" w:cs="Osaka" w:hint="eastAsia"/>
          <w:color w:val="auto"/>
        </w:rPr>
        <w:t xml:space="preserve">, </w:t>
      </w:r>
      <w:r w:rsidRPr="005C302B">
        <w:rPr>
          <w:rFonts w:ascii="ＭＳ 明朝" w:hAnsi="ＭＳ 明朝" w:cs="Osaka" w:hint="eastAsia"/>
          <w:b/>
          <w:bCs/>
          <w:color w:val="auto"/>
        </w:rPr>
        <w:t>87</w:t>
      </w:r>
      <w:r w:rsidRPr="005C302B">
        <w:rPr>
          <w:rFonts w:ascii="ＭＳ 明朝" w:hAnsi="ＭＳ 明朝" w:cs="Osaka" w:hint="eastAsia"/>
          <w:color w:val="auto"/>
        </w:rPr>
        <w:t>, 218-28 (1965)</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5) Chen, YH., </w:t>
      </w:r>
      <w:r w:rsidRPr="005C302B">
        <w:rPr>
          <w:rFonts w:ascii="ＭＳ 明朝" w:hAnsi="ＭＳ 明朝" w:cs="Osaka" w:hint="eastAsia"/>
          <w:iCs/>
        </w:rPr>
        <w:t>et al</w:t>
      </w:r>
      <w:r w:rsidRPr="005C302B">
        <w:rPr>
          <w:rFonts w:ascii="ＭＳ 明朝" w:hAnsi="ＭＳ 明朝" w:cs="Osaka" w:hint="eastAsia"/>
          <w:i/>
          <w:iCs/>
        </w:rPr>
        <w:t>.</w:t>
      </w:r>
      <w:r w:rsidRPr="005C302B">
        <w:rPr>
          <w:rFonts w:ascii="ＭＳ 明朝" w:hAnsi="ＭＳ 明朝" w:cs="Osaka" w:hint="eastAsia"/>
        </w:rPr>
        <w:t xml:space="preserve">, </w:t>
      </w:r>
      <w:r w:rsidRPr="005C302B">
        <w:rPr>
          <w:rFonts w:ascii="ＭＳ 明朝" w:hAnsi="ＭＳ 明朝" w:cs="Osaka" w:hint="eastAsia"/>
          <w:i/>
          <w:iCs/>
        </w:rPr>
        <w:t>Biochemistry</w:t>
      </w:r>
      <w:r w:rsidRPr="005C302B">
        <w:rPr>
          <w:rFonts w:ascii="ＭＳ 明朝" w:hAnsi="ＭＳ 明朝" w:cs="Osaka" w:hint="eastAsia"/>
        </w:rPr>
        <w:t xml:space="preserve">, </w:t>
      </w:r>
      <w:r w:rsidRPr="005C302B">
        <w:rPr>
          <w:rFonts w:ascii="ＭＳ 明朝" w:hAnsi="ＭＳ 明朝" w:cs="Osaka" w:hint="eastAsia"/>
          <w:b/>
          <w:bCs/>
        </w:rPr>
        <w:t>13</w:t>
      </w:r>
      <w:r w:rsidRPr="005C302B">
        <w:rPr>
          <w:rFonts w:ascii="ＭＳ 明朝" w:hAnsi="ＭＳ 明朝" w:cs="Osaka" w:hint="eastAsia"/>
        </w:rPr>
        <w:t>, 3350-9 (1974)</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6) Scholtz, JM., et al., </w:t>
      </w:r>
      <w:r w:rsidRPr="005C302B">
        <w:rPr>
          <w:rFonts w:ascii="ＭＳ 明朝" w:hAnsi="ＭＳ 明朝" w:cs="Osaka" w:hint="eastAsia"/>
          <w:i/>
        </w:rPr>
        <w:t>Biopolymers</w:t>
      </w:r>
      <w:r w:rsidRPr="005C302B">
        <w:rPr>
          <w:rFonts w:ascii="ＭＳ 明朝" w:hAnsi="ＭＳ 明朝" w:cs="Osaka" w:hint="eastAsia"/>
        </w:rPr>
        <w:t xml:space="preserve">, </w:t>
      </w:r>
      <w:r w:rsidRPr="005C302B">
        <w:rPr>
          <w:rFonts w:ascii="ＭＳ 明朝" w:hAnsi="ＭＳ 明朝" w:cs="Osaka" w:hint="eastAsia"/>
          <w:b/>
        </w:rPr>
        <w:t>31</w:t>
      </w:r>
      <w:r w:rsidRPr="005C302B">
        <w:rPr>
          <w:rFonts w:ascii="ＭＳ 明朝" w:hAnsi="ＭＳ 明朝" w:cs="Osaka" w:hint="eastAsia"/>
        </w:rPr>
        <w:t>, 1463-70 (1991)</w:t>
      </w:r>
    </w:p>
    <w:p w:rsidR="00B740BD" w:rsidRPr="005C302B" w:rsidRDefault="00B740BD" w:rsidP="001809A3">
      <w:pPr>
        <w:pStyle w:val="a8"/>
        <w:snapToGrid w:val="0"/>
        <w:jc w:val="both"/>
        <w:rPr>
          <w:rFonts w:ascii="ＭＳ 明朝" w:hAnsi="ＭＳ 明朝" w:cs="Osaka" w:hint="eastAsia"/>
        </w:rPr>
      </w:pPr>
      <w:r w:rsidRPr="005C302B">
        <w:rPr>
          <w:rFonts w:ascii="ＭＳ 明朝" w:hAnsi="ＭＳ 明朝" w:cs="Osaka" w:hint="eastAsia"/>
        </w:rPr>
        <w:t xml:space="preserve">7) Greenfield, N. &amp; Fasman, GD., </w:t>
      </w:r>
      <w:r w:rsidRPr="005C302B">
        <w:rPr>
          <w:rFonts w:ascii="ＭＳ 明朝" w:hAnsi="ＭＳ 明朝" w:cs="Osaka" w:hint="eastAsia"/>
          <w:i/>
        </w:rPr>
        <w:t>Biochemistry</w:t>
      </w:r>
      <w:r w:rsidRPr="005C302B">
        <w:rPr>
          <w:rFonts w:ascii="ＭＳ 明朝" w:hAnsi="ＭＳ 明朝" w:cs="Osaka" w:hint="eastAsia"/>
        </w:rPr>
        <w:t xml:space="preserve">, </w:t>
      </w:r>
      <w:r w:rsidRPr="005C302B">
        <w:rPr>
          <w:rFonts w:ascii="ＭＳ 明朝" w:hAnsi="ＭＳ 明朝" w:cs="Osaka" w:hint="eastAsia"/>
          <w:b/>
        </w:rPr>
        <w:t>8</w:t>
      </w:r>
      <w:r w:rsidRPr="005C302B">
        <w:rPr>
          <w:rFonts w:ascii="ＭＳ 明朝" w:hAnsi="ＭＳ 明朝" w:cs="Osaka" w:hint="eastAsia"/>
        </w:rPr>
        <w:t>, 4108-4116 (1969)</w:t>
      </w:r>
    </w:p>
    <w:p w:rsidR="00D55535" w:rsidRDefault="00B740BD" w:rsidP="00D55535">
      <w:pPr>
        <w:pStyle w:val="a8"/>
        <w:rPr>
          <w:rFonts w:ascii="ＭＳ 明朝" w:hAnsi="ＭＳ 明朝" w:cs="Osaka"/>
        </w:rPr>
      </w:pPr>
      <w:r w:rsidRPr="005C302B">
        <w:rPr>
          <w:rFonts w:ascii="ＭＳ 明朝" w:hAnsi="ＭＳ 明朝" w:cs="Osaka" w:hint="eastAsia"/>
        </w:rPr>
        <w:br w:type="page"/>
      </w:r>
    </w:p>
    <w:p w:rsidR="00D55535" w:rsidRDefault="00D55535" w:rsidP="00E20167">
      <w:pPr>
        <w:pStyle w:val="a8"/>
        <w:jc w:val="center"/>
        <w:rPr>
          <w:rFonts w:ascii="ＭＳ 明朝" w:hAnsi="ＭＳ 明朝" w:cs="Osaka"/>
        </w:rPr>
      </w:pPr>
    </w:p>
    <w:p w:rsidR="00B740BD" w:rsidRDefault="00B369F7" w:rsidP="00E20167">
      <w:pPr>
        <w:pStyle w:val="a8"/>
        <w:jc w:val="center"/>
        <w:rPr>
          <w:rFonts w:ascii="ＭＳ 明朝" w:hAnsi="ＭＳ 明朝" w:cs="Osaka"/>
        </w:rPr>
      </w:pPr>
      <w:r>
        <w:rPr>
          <w:rFonts w:ascii="ＭＳ 明朝" w:hAnsi="ＭＳ 明朝" w:cs="Osaka" w:hint="eastAsia"/>
          <w:noProof/>
        </w:rPr>
        <w:drawing>
          <wp:inline distT="0" distB="0" distL="0" distR="0">
            <wp:extent cx="3638550" cy="3486150"/>
            <wp:effectExtent l="0" t="0" r="0" b="0"/>
            <wp:docPr id="13" name="図 13" descr="C:\Users\arimori\Documents\各種委員活動\2023-_蛋白質科学会アーカイブ編集委員\1_資料\sample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imori\Documents\各種委員活動\2023-_蛋白質科学会アーカイブ編集委員\1_資料\sample_Fi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3486150"/>
                    </a:xfrm>
                    <a:prstGeom prst="rect">
                      <a:avLst/>
                    </a:prstGeom>
                    <a:noFill/>
                    <a:ln>
                      <a:noFill/>
                    </a:ln>
                  </pic:spPr>
                </pic:pic>
              </a:graphicData>
            </a:graphic>
          </wp:inline>
        </w:drawing>
      </w:r>
    </w:p>
    <w:p w:rsidR="00E20167" w:rsidRDefault="00B369F7">
      <w:pPr>
        <w:pStyle w:val="a8"/>
        <w:rPr>
          <w:rFonts w:ascii="ＭＳ 明朝" w:hAnsi="ＭＳ 明朝" w:cs="Osaka"/>
          <w:b/>
          <w:bCs/>
        </w:rPr>
      </w:pPr>
      <w:r>
        <w:rPr>
          <w:noProof/>
        </w:rPr>
        <mc:AlternateContent>
          <mc:Choice Requires="wps">
            <w:drawing>
              <wp:anchor distT="45720" distB="45720" distL="114300" distR="114300" simplePos="0" relativeHeight="251659264" behindDoc="0" locked="0" layoutInCell="1" allowOverlap="1">
                <wp:simplePos x="0" y="0"/>
                <wp:positionH relativeFrom="column">
                  <wp:posOffset>923925</wp:posOffset>
                </wp:positionH>
                <wp:positionV relativeFrom="paragraph">
                  <wp:posOffset>97790</wp:posOffset>
                </wp:positionV>
                <wp:extent cx="4031615" cy="17094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167" w:rsidRPr="00E20167" w:rsidRDefault="00E20167">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図1：円二色分散計（CD測定装置）</w:t>
                            </w:r>
                            <w:r w:rsidR="008A7D5C">
                              <w:rPr>
                                <w:rFonts w:ascii="ＭＳ ゴシック" w:eastAsia="ＭＳ ゴシック" w:hAnsi="ＭＳ ゴシック" w:hint="eastAsia"/>
                                <w:color w:val="auto"/>
                                <w:sz w:val="28"/>
                              </w:rPr>
                              <w:t>(</w:t>
                            </w:r>
                            <w:r w:rsidRPr="00E20167">
                              <w:rPr>
                                <w:rFonts w:ascii="ＭＳ ゴシック" w:eastAsia="ＭＳ ゴシック" w:hAnsi="ＭＳ ゴシック" w:hint="eastAsia"/>
                                <w:color w:val="auto"/>
                                <w:sz w:val="28"/>
                              </w:rPr>
                              <w:t>A</w:t>
                            </w:r>
                            <w:r w:rsidR="008A7D5C">
                              <w:rPr>
                                <w:rFonts w:ascii="ＭＳ ゴシック" w:eastAsia="ＭＳ ゴシック" w:hAnsi="ＭＳ ゴシック"/>
                                <w:color w:val="auto"/>
                                <w:sz w:val="28"/>
                              </w:rPr>
                              <w:t>)</w:t>
                            </w:r>
                            <w:r w:rsidRPr="00E20167">
                              <w:rPr>
                                <w:rFonts w:ascii="ＭＳ ゴシック" w:eastAsia="ＭＳ ゴシック" w:hAnsi="ＭＳ ゴシック" w:hint="eastAsia"/>
                                <w:color w:val="auto"/>
                                <w:sz w:val="28"/>
                              </w:rPr>
                              <w:t>と試料室</w:t>
                            </w:r>
                            <w:r w:rsidR="008A7D5C">
                              <w:rPr>
                                <w:rFonts w:ascii="ＭＳ ゴシック" w:eastAsia="ＭＳ ゴシック" w:hAnsi="ＭＳ ゴシック" w:hint="eastAsia"/>
                                <w:color w:val="auto"/>
                                <w:sz w:val="28"/>
                              </w:rPr>
                              <w:t>(</w:t>
                            </w:r>
                            <w:r w:rsidRPr="00E20167">
                              <w:rPr>
                                <w:rFonts w:ascii="ＭＳ ゴシック" w:eastAsia="ＭＳ ゴシック" w:hAnsi="ＭＳ ゴシック" w:hint="eastAsia"/>
                                <w:color w:val="auto"/>
                                <w:sz w:val="28"/>
                              </w:rPr>
                              <w:t>B</w:t>
                            </w:r>
                            <w:r w:rsidR="008A7D5C">
                              <w:rPr>
                                <w:rFonts w:ascii="ＭＳ ゴシック" w:eastAsia="ＭＳ ゴシック" w:hAnsi="ＭＳ ゴシック"/>
                                <w:color w:val="auto"/>
                                <w:sz w:val="28"/>
                              </w:rPr>
                              <w:t>)</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円二色分散計は右側に見えるPCにより操作する。本体右端の円筒状の部分が受光部（ホトマル）であり、その左上方の銀色の把手を上に上げると試料室にアクセスできる。Bの写真では光は左より入り、中央部の恒温キュベットホルダーを経て、右側の受光部へ達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2.75pt;margin-top:7.7pt;width:317.45pt;height:134.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ve1g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" filled="f" stroked="f">
                <v:textbox style="mso-fit-shape-to-text:t">
                  <w:txbxContent>
                    <w:p w:rsidR="00E20167" w:rsidRPr="00E20167" w:rsidRDefault="00E20167">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図1：円二色分散計（CD測定装置）</w:t>
                      </w:r>
                      <w:r w:rsidR="008A7D5C">
                        <w:rPr>
                          <w:rFonts w:ascii="ＭＳ ゴシック" w:eastAsia="ＭＳ ゴシック" w:hAnsi="ＭＳ ゴシック" w:hint="eastAsia"/>
                          <w:color w:val="auto"/>
                          <w:sz w:val="28"/>
                        </w:rPr>
                        <w:t>(</w:t>
                      </w:r>
                      <w:r w:rsidRPr="00E20167">
                        <w:rPr>
                          <w:rFonts w:ascii="ＭＳ ゴシック" w:eastAsia="ＭＳ ゴシック" w:hAnsi="ＭＳ ゴシック" w:hint="eastAsia"/>
                          <w:color w:val="auto"/>
                          <w:sz w:val="28"/>
                        </w:rPr>
                        <w:t>A</w:t>
                      </w:r>
                      <w:r w:rsidR="008A7D5C">
                        <w:rPr>
                          <w:rFonts w:ascii="ＭＳ ゴシック" w:eastAsia="ＭＳ ゴシック" w:hAnsi="ＭＳ ゴシック"/>
                          <w:color w:val="auto"/>
                          <w:sz w:val="28"/>
                        </w:rPr>
                        <w:t>)</w:t>
                      </w:r>
                      <w:r w:rsidRPr="00E20167">
                        <w:rPr>
                          <w:rFonts w:ascii="ＭＳ ゴシック" w:eastAsia="ＭＳ ゴシック" w:hAnsi="ＭＳ ゴシック" w:hint="eastAsia"/>
                          <w:color w:val="auto"/>
                          <w:sz w:val="28"/>
                        </w:rPr>
                        <w:t>と試料室</w:t>
                      </w:r>
                      <w:r w:rsidR="008A7D5C">
                        <w:rPr>
                          <w:rFonts w:ascii="ＭＳ ゴシック" w:eastAsia="ＭＳ ゴシック" w:hAnsi="ＭＳ ゴシック" w:hint="eastAsia"/>
                          <w:color w:val="auto"/>
                          <w:sz w:val="28"/>
                        </w:rPr>
                        <w:t>(</w:t>
                      </w:r>
                      <w:r w:rsidRPr="00E20167">
                        <w:rPr>
                          <w:rFonts w:ascii="ＭＳ ゴシック" w:eastAsia="ＭＳ ゴシック" w:hAnsi="ＭＳ ゴシック" w:hint="eastAsia"/>
                          <w:color w:val="auto"/>
                          <w:sz w:val="28"/>
                        </w:rPr>
                        <w:t>B</w:t>
                      </w:r>
                      <w:r w:rsidR="008A7D5C">
                        <w:rPr>
                          <w:rFonts w:ascii="ＭＳ ゴシック" w:eastAsia="ＭＳ ゴシック" w:hAnsi="ＭＳ ゴシック"/>
                          <w:color w:val="auto"/>
                          <w:sz w:val="28"/>
                        </w:rPr>
                        <w:t>)</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円二色分散計は右側に見えるPCにより操作する。本体右端の円筒状の部分が受光部（ホトマル）であり、その左上方の銀色の把手を上に上げると試料室にアクセスできる。Bの写真では光は左より入り、中央部の恒温キュベットホルダーを経て、右側の受光部へ達する。</w:t>
                      </w:r>
                    </w:p>
                  </w:txbxContent>
                </v:textbox>
                <w10:wrap type="square"/>
              </v:shape>
            </w:pict>
          </mc:Fallback>
        </mc:AlternateContent>
      </w:r>
    </w:p>
    <w:p w:rsidR="00E20167" w:rsidRPr="005C302B" w:rsidRDefault="00E20167">
      <w:pPr>
        <w:pStyle w:val="a8"/>
        <w:rPr>
          <w:rFonts w:ascii="ＭＳ 明朝" w:hAnsi="ＭＳ 明朝" w:cs="Osaka" w:hint="eastAsia"/>
          <w:b/>
          <w:bCs/>
        </w:rPr>
      </w:pPr>
    </w:p>
    <w:p w:rsidR="00B740BD" w:rsidRPr="005C302B" w:rsidRDefault="00B740BD">
      <w:pPr>
        <w:pStyle w:val="a8"/>
        <w:jc w:val="center"/>
        <w:rPr>
          <w:rFonts w:ascii="ＭＳ 明朝" w:hAnsi="ＭＳ 明朝" w:cs="Osaka" w:hint="eastAsia"/>
        </w:rPr>
      </w:pPr>
    </w:p>
    <w:p w:rsidR="00B740BD" w:rsidRPr="005C302B" w:rsidRDefault="00B740BD">
      <w:pPr>
        <w:pStyle w:val="a8"/>
        <w:jc w:val="center"/>
        <w:rPr>
          <w:rFonts w:ascii="ＭＳ 明朝" w:hAnsi="ＭＳ 明朝" w:cs="Osaka" w:hint="eastAsia"/>
        </w:rPr>
      </w:pPr>
    </w:p>
    <w:p w:rsidR="00B740BD" w:rsidRDefault="00B740BD">
      <w:pPr>
        <w:pStyle w:val="a8"/>
        <w:rPr>
          <w:rFonts w:ascii="ＭＳ 明朝" w:hAnsi="ＭＳ 明朝" w:cs="Osaka"/>
        </w:rPr>
      </w:pPr>
      <w:r w:rsidRPr="005C302B">
        <w:rPr>
          <w:rFonts w:ascii="ＭＳ 明朝" w:hAnsi="ＭＳ 明朝" w:cs="Osaka" w:hint="eastAsia"/>
        </w:rPr>
        <w:br w:type="page"/>
      </w:r>
    </w:p>
    <w:p w:rsidR="00D55535" w:rsidRPr="005C302B" w:rsidRDefault="00D55535" w:rsidP="00D55535">
      <w:pPr>
        <w:pStyle w:val="a8"/>
        <w:jc w:val="center"/>
        <w:rPr>
          <w:rFonts w:ascii="ＭＳ 明朝" w:hAnsi="ＭＳ 明朝" w:cs="Osaka" w:hint="eastAsia"/>
        </w:rPr>
      </w:pPr>
    </w:p>
    <w:p w:rsidR="00B740BD" w:rsidRPr="005C302B" w:rsidRDefault="00B369F7">
      <w:pPr>
        <w:pStyle w:val="a8"/>
        <w:jc w:val="center"/>
        <w:rPr>
          <w:rFonts w:ascii="ＭＳ 明朝" w:hAnsi="ＭＳ 明朝" w:cs="Osaka"/>
        </w:rPr>
      </w:pPr>
      <w:r>
        <w:rPr>
          <w:rFonts w:ascii="ＭＳ 明朝" w:hAnsi="ＭＳ 明朝" w:cs="Osaka"/>
          <w:noProof/>
        </w:rPr>
        <w:drawing>
          <wp:inline distT="0" distB="0" distL="0" distR="0">
            <wp:extent cx="3743325" cy="4400550"/>
            <wp:effectExtent l="0" t="0" r="0" b="0"/>
            <wp:docPr id="28" name="図 28" descr="C:\Users\arimori\Documents\各種委員活動\2023-_蛋白質科学会アーカイブ編集委員\1_資料\sample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rimori\Documents\各種委員活動\2023-_蛋白質科学会アーカイブ編集委員\1_資料\sample_Fi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4400550"/>
                    </a:xfrm>
                    <a:prstGeom prst="rect">
                      <a:avLst/>
                    </a:prstGeom>
                    <a:noFill/>
                    <a:ln>
                      <a:noFill/>
                    </a:ln>
                  </pic:spPr>
                </pic:pic>
              </a:graphicData>
            </a:graphic>
          </wp:inline>
        </w:drawing>
      </w:r>
    </w:p>
    <w:p w:rsidR="00B740BD" w:rsidRPr="005C302B" w:rsidRDefault="00B740BD">
      <w:pPr>
        <w:pStyle w:val="a8"/>
        <w:jc w:val="center"/>
        <w:rPr>
          <w:rFonts w:ascii="ＭＳ 明朝" w:hAnsi="ＭＳ 明朝" w:cs="Osaka"/>
        </w:rPr>
      </w:pPr>
    </w:p>
    <w:p w:rsidR="00B740BD" w:rsidRPr="005C302B" w:rsidRDefault="00B369F7">
      <w:pPr>
        <w:pStyle w:val="a8"/>
        <w:jc w:val="center"/>
        <w:rPr>
          <w:rFonts w:ascii="ＭＳ 明朝" w:hAnsi="ＭＳ 明朝" w:cs="Osaka" w:hint="eastAsia"/>
        </w:rPr>
      </w:pPr>
      <w:r>
        <w:rPr>
          <w:rFonts w:ascii="ＭＳ 明朝" w:hAnsi="ＭＳ 明朝" w:cs="Osaka"/>
          <w:noProof/>
        </w:rPr>
        <mc:AlternateContent>
          <mc:Choice Requires="wps">
            <w:drawing>
              <wp:anchor distT="45720" distB="45720" distL="114300" distR="114300" simplePos="0" relativeHeight="251660288" behindDoc="0" locked="0" layoutInCell="1" allowOverlap="1">
                <wp:simplePos x="0" y="0"/>
                <wp:positionH relativeFrom="column">
                  <wp:posOffset>952500</wp:posOffset>
                </wp:positionH>
                <wp:positionV relativeFrom="paragraph">
                  <wp:posOffset>165735</wp:posOffset>
                </wp:positionV>
                <wp:extent cx="4111625" cy="101600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D5C" w:rsidRPr="00E20167" w:rsidRDefault="008A7D5C" w:rsidP="008A7D5C">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2</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CDスペクトル及びホトマル電圧に及ぼすバッファー(A</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、添加剤(B</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、NaCl(C</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の及ぼす効果。Aでのバッファー濃度は100mM。Cの測定では溶液に20mMTris-HClを含む。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5pt;margin-top:13.05pt;width:323.75pt;height:8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" filled="f" stroked="f">
                <v:textbox style="mso-fit-shape-to-text:t">
                  <w:txbxContent>
                    <w:p w:rsidR="008A7D5C" w:rsidRPr="00E20167" w:rsidRDefault="008A7D5C" w:rsidP="008A7D5C">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2</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CDスペクトル及びホトマル電圧に及ぼすバッファー(A</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、添加剤(B</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、NaCl(C</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の及ぼす効果。Aでのバッファー濃度は100mM。Cの測定では溶液に20mMTris-HClを含む。</w:t>
                      </w:r>
                    </w:p>
                  </w:txbxContent>
                </v:textbox>
                <w10:wrap type="square"/>
              </v:shape>
            </w:pict>
          </mc:Fallback>
        </mc:AlternateContent>
      </w:r>
    </w:p>
    <w:p w:rsidR="00B740BD" w:rsidRPr="005C302B" w:rsidRDefault="00B740BD">
      <w:pPr>
        <w:pStyle w:val="a8"/>
        <w:rPr>
          <w:rFonts w:ascii="ＭＳ 明朝" w:hAnsi="ＭＳ 明朝" w:cs="Osaka" w:hint="eastAsia"/>
        </w:rPr>
      </w:pPr>
      <w:r w:rsidRPr="005C302B">
        <w:rPr>
          <w:rFonts w:ascii="ＭＳ 明朝" w:hAnsi="ＭＳ 明朝" w:cs="Osaka" w:hint="eastAsia"/>
        </w:rPr>
        <w:br w:type="page"/>
      </w:r>
    </w:p>
    <w:p w:rsidR="00B740BD" w:rsidRPr="005C302B" w:rsidRDefault="00B740BD">
      <w:pPr>
        <w:pStyle w:val="a8"/>
        <w:jc w:val="center"/>
        <w:rPr>
          <w:rFonts w:ascii="ＭＳ 明朝" w:hAnsi="ＭＳ 明朝" w:cs="Osaka"/>
        </w:rPr>
      </w:pPr>
    </w:p>
    <w:p w:rsidR="00B740BD" w:rsidRPr="005C302B" w:rsidRDefault="00B369F7">
      <w:pPr>
        <w:pStyle w:val="a8"/>
        <w:jc w:val="center"/>
        <w:rPr>
          <w:rFonts w:ascii="ＭＳ 明朝" w:hAnsi="ＭＳ 明朝" w:cs="Osaka"/>
        </w:rPr>
      </w:pPr>
      <w:r>
        <w:rPr>
          <w:rFonts w:ascii="ＭＳ 明朝" w:hAnsi="ＭＳ 明朝" w:cs="Osaka"/>
          <w:noProof/>
        </w:rPr>
        <w:drawing>
          <wp:inline distT="0" distB="0" distL="0" distR="0">
            <wp:extent cx="4057650" cy="2914650"/>
            <wp:effectExtent l="0" t="0" r="0" b="0"/>
            <wp:docPr id="33" name="図 33" descr="C:\Users\arimori\Documents\各種委員活動\2023-_蛋白質科学会アーカイブ編集委員\1_資料\sample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rimori\Documents\各種委員活動\2023-_蛋白質科学会アーカイブ編集委員\1_資料\sample_Fig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2914650"/>
                    </a:xfrm>
                    <a:prstGeom prst="rect">
                      <a:avLst/>
                    </a:prstGeom>
                    <a:noFill/>
                    <a:ln>
                      <a:noFill/>
                    </a:ln>
                  </pic:spPr>
                </pic:pic>
              </a:graphicData>
            </a:graphic>
          </wp:inline>
        </w:drawing>
      </w:r>
    </w:p>
    <w:p w:rsidR="00B740BD" w:rsidRPr="005C302B" w:rsidRDefault="00B369F7">
      <w:pPr>
        <w:pStyle w:val="a8"/>
        <w:jc w:val="center"/>
        <w:rPr>
          <w:rFonts w:ascii="ＭＳ 明朝" w:hAnsi="ＭＳ 明朝" w:cs="Osaka"/>
        </w:rPr>
      </w:pPr>
      <w:r>
        <w:rPr>
          <w:rFonts w:ascii="ＭＳ 明朝" w:hAnsi="ＭＳ 明朝" w:cs="Osaka" w:hint="eastAsia"/>
          <w:noProof/>
        </w:rPr>
        <mc:AlternateContent>
          <mc:Choice Requires="wps">
            <w:drawing>
              <wp:anchor distT="45720" distB="45720" distL="114300" distR="114300" simplePos="0" relativeHeight="251661312" behindDoc="0" locked="0" layoutInCell="1" allowOverlap="1">
                <wp:simplePos x="0" y="0"/>
                <wp:positionH relativeFrom="column">
                  <wp:posOffset>952500</wp:posOffset>
                </wp:positionH>
                <wp:positionV relativeFrom="paragraph">
                  <wp:posOffset>177165</wp:posOffset>
                </wp:positionV>
                <wp:extent cx="4416425" cy="10160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D5C" w:rsidRPr="00E20167" w:rsidRDefault="008A7D5C" w:rsidP="008A7D5C">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3</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CDスペクトルとホトマル電圧(A</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と222nmでのノイズ(B</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に及ぼすリゾチーム濃度の影響。データはモル楕円率に換算している。比較がしやすいように2μMのデータは上に、</w:t>
                            </w:r>
                            <w:r>
                              <w:rPr>
                                <w:rFonts w:ascii="ＭＳ ゴシック" w:eastAsia="ＭＳ ゴシック" w:hAnsi="ＭＳ ゴシック" w:hint="eastAsia"/>
                                <w:color w:val="auto"/>
                                <w:sz w:val="28"/>
                              </w:rPr>
                              <w:t>2</w:t>
                            </w:r>
                            <w:r>
                              <w:rPr>
                                <w:rFonts w:ascii="ＭＳ ゴシック" w:eastAsia="ＭＳ ゴシック" w:hAnsi="ＭＳ ゴシック" w:hint="eastAsia"/>
                                <w:color w:val="auto"/>
                                <w:sz w:val="28"/>
                              </w:rPr>
                              <w:t>0</w:t>
                            </w:r>
                            <w:r>
                              <w:rPr>
                                <w:rFonts w:ascii="ＭＳ ゴシック" w:eastAsia="ＭＳ ゴシック" w:hAnsi="ＭＳ ゴシック" w:hint="eastAsia"/>
                                <w:color w:val="auto"/>
                                <w:sz w:val="28"/>
                              </w:rPr>
                              <w:t>μMの</w:t>
                            </w:r>
                            <w:r>
                              <w:rPr>
                                <w:rFonts w:ascii="ＭＳ ゴシック" w:eastAsia="ＭＳ ゴシック" w:hAnsi="ＭＳ ゴシック" w:hint="eastAsia"/>
                                <w:color w:val="auto"/>
                                <w:sz w:val="28"/>
                              </w:rPr>
                              <w:t>データは下にずらしてある。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5pt;margin-top:13.95pt;width:347.75pt;height:80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" filled="f" stroked="f">
                <v:textbox style="mso-fit-shape-to-text:t">
                  <w:txbxContent>
                    <w:p w:rsidR="008A7D5C" w:rsidRPr="00E20167" w:rsidRDefault="008A7D5C" w:rsidP="008A7D5C">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3</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CDスペクトルとホトマル電圧(A</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と222nmでのノイズ(B</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に及ぼすリゾチーム濃度の影響。データはモル楕円率に換算している。比較がしやすいように2μMのデータは上に、</w:t>
                      </w:r>
                      <w:r>
                        <w:rPr>
                          <w:rFonts w:ascii="ＭＳ ゴシック" w:eastAsia="ＭＳ ゴシック" w:hAnsi="ＭＳ ゴシック" w:hint="eastAsia"/>
                          <w:color w:val="auto"/>
                          <w:sz w:val="28"/>
                        </w:rPr>
                        <w:t>2</w:t>
                      </w:r>
                      <w:r>
                        <w:rPr>
                          <w:rFonts w:ascii="ＭＳ ゴシック" w:eastAsia="ＭＳ ゴシック" w:hAnsi="ＭＳ ゴシック" w:hint="eastAsia"/>
                          <w:color w:val="auto"/>
                          <w:sz w:val="28"/>
                        </w:rPr>
                        <w:t>0</w:t>
                      </w:r>
                      <w:r>
                        <w:rPr>
                          <w:rFonts w:ascii="ＭＳ ゴシック" w:eastAsia="ＭＳ ゴシック" w:hAnsi="ＭＳ ゴシック" w:hint="eastAsia"/>
                          <w:color w:val="auto"/>
                          <w:sz w:val="28"/>
                        </w:rPr>
                        <w:t>μMの</w:t>
                      </w:r>
                      <w:r>
                        <w:rPr>
                          <w:rFonts w:ascii="ＭＳ ゴシック" w:eastAsia="ＭＳ ゴシック" w:hAnsi="ＭＳ ゴシック" w:hint="eastAsia"/>
                          <w:color w:val="auto"/>
                          <w:sz w:val="28"/>
                        </w:rPr>
                        <w:t>データは下にずらしてある。</w:t>
                      </w:r>
                    </w:p>
                  </w:txbxContent>
                </v:textbox>
                <w10:wrap type="square"/>
              </v:shape>
            </w:pict>
          </mc:Fallback>
        </mc:AlternateContent>
      </w:r>
    </w:p>
    <w:p w:rsidR="00B740BD" w:rsidRPr="005C302B" w:rsidRDefault="00B740BD">
      <w:pPr>
        <w:pStyle w:val="a8"/>
        <w:rPr>
          <w:rFonts w:ascii="ＭＳ 明朝" w:hAnsi="ＭＳ 明朝" w:cs="Osaka" w:hint="eastAsia"/>
        </w:rPr>
      </w:pPr>
    </w:p>
    <w:p w:rsidR="00B740BD" w:rsidRPr="005C302B" w:rsidRDefault="00B740BD">
      <w:pPr>
        <w:pStyle w:val="a8"/>
        <w:rPr>
          <w:rFonts w:ascii="ＭＳ 明朝" w:hAnsi="ＭＳ 明朝" w:cs="Osaka" w:hint="eastAsia"/>
        </w:rPr>
      </w:pPr>
      <w:r w:rsidRPr="005C302B">
        <w:rPr>
          <w:rFonts w:ascii="ＭＳ 明朝" w:hAnsi="ＭＳ 明朝" w:cs="Osaka" w:hint="eastAsia"/>
        </w:rPr>
        <w:br w:type="page"/>
      </w:r>
    </w:p>
    <w:p w:rsidR="00B740BD" w:rsidRPr="005C302B" w:rsidRDefault="00B369F7" w:rsidP="00B740BD">
      <w:pPr>
        <w:pStyle w:val="a8"/>
        <w:jc w:val="center"/>
        <w:rPr>
          <w:rFonts w:ascii="ＭＳ 明朝" w:hAnsi="ＭＳ 明朝" w:cs="Osaka"/>
        </w:rPr>
      </w:pPr>
      <w:r>
        <w:rPr>
          <w:rFonts w:ascii="ＭＳ 明朝" w:hAnsi="ＭＳ 明朝" w:cs="Osaka"/>
          <w:noProof/>
        </w:rPr>
        <w:drawing>
          <wp:inline distT="0" distB="0" distL="0" distR="0">
            <wp:extent cx="3952875" cy="3695700"/>
            <wp:effectExtent l="0" t="0" r="0" b="0"/>
            <wp:docPr id="40" name="図 40" descr="C:\Users\arimori\Documents\各種委員活動\2023-_蛋白質科学会アーカイブ編集委員\1_資料\sample_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rimori\Documents\各種委員活動\2023-_蛋白質科学会アーカイブ編集委員\1_資料\sample_Fig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3695700"/>
                    </a:xfrm>
                    <a:prstGeom prst="rect">
                      <a:avLst/>
                    </a:prstGeom>
                    <a:noFill/>
                    <a:ln>
                      <a:noFill/>
                    </a:ln>
                  </pic:spPr>
                </pic:pic>
              </a:graphicData>
            </a:graphic>
          </wp:inline>
        </w:drawing>
      </w:r>
    </w:p>
    <w:p w:rsidR="00B740BD" w:rsidRDefault="00B369F7" w:rsidP="00B740BD">
      <w:pPr>
        <w:pStyle w:val="a8"/>
        <w:jc w:val="both"/>
        <w:rPr>
          <w:rFonts w:ascii="ＭＳ 明朝" w:hAnsi="ＭＳ 明朝" w:cs="Osaka"/>
        </w:rPr>
      </w:pPr>
      <w:r>
        <w:rPr>
          <w:rFonts w:ascii="ＭＳ 明朝" w:hAnsi="ＭＳ 明朝" w:cs="Osaka" w:hint="eastAsia"/>
          <w:noProof/>
        </w:rPr>
        <mc:AlternateContent>
          <mc:Choice Requires="wps">
            <w:drawing>
              <wp:anchor distT="45720" distB="45720" distL="114300" distR="114300" simplePos="0" relativeHeight="251662336" behindDoc="0" locked="0" layoutInCell="1" allowOverlap="1">
                <wp:simplePos x="0" y="0"/>
                <wp:positionH relativeFrom="column">
                  <wp:posOffset>1123950</wp:posOffset>
                </wp:positionH>
                <wp:positionV relativeFrom="paragraph">
                  <wp:posOffset>76200</wp:posOffset>
                </wp:positionV>
                <wp:extent cx="3844925" cy="124714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535" w:rsidRPr="00E20167" w:rsidRDefault="00D55535" w:rsidP="00D55535">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4</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ポリリジンのCDスペクトル7)。溶媒条件を変化させるとヘリックス構造(曲線1</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、β構造(2)、ランダムコイル(3)へと状態変化を生ずることが知られている（ACSの許可を受けて転載）。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88.5pt;margin-top:6pt;width:302.75pt;height:98.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PH2g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" filled="f" stroked="f">
                <v:textbox style="mso-fit-shape-to-text:t">
                  <w:txbxContent>
                    <w:p w:rsidR="00D55535" w:rsidRPr="00E20167" w:rsidRDefault="00D55535" w:rsidP="00D55535">
                      <w:pPr>
                        <w:rPr>
                          <w:rFonts w:ascii="ＭＳ ゴシック" w:eastAsia="ＭＳ ゴシック" w:hAnsi="ＭＳ ゴシック" w:hint="eastAsia"/>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4</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ポリリジンのCDスペクトル7)。溶媒条件を変化させるとヘリックス構造(曲線1</w:t>
                      </w:r>
                      <w:r>
                        <w:rPr>
                          <w:rFonts w:ascii="ＭＳ ゴシック" w:eastAsia="ＭＳ ゴシック" w:hAnsi="ＭＳ ゴシック"/>
                          <w:color w:val="auto"/>
                          <w:sz w:val="28"/>
                        </w:rPr>
                        <w:t>)</w:t>
                      </w:r>
                      <w:r>
                        <w:rPr>
                          <w:rFonts w:ascii="ＭＳ ゴシック" w:eastAsia="ＭＳ ゴシック" w:hAnsi="ＭＳ ゴシック" w:hint="eastAsia"/>
                          <w:color w:val="auto"/>
                          <w:sz w:val="28"/>
                        </w:rPr>
                        <w:t>、β構造(2)、ランダムコイル(3)へと状態変化を生ずることが知られている（ACSの許可を受けて転載）。</w:t>
                      </w:r>
                    </w:p>
                  </w:txbxContent>
                </v:textbox>
                <w10:wrap type="square"/>
              </v:shape>
            </w:pict>
          </mc:Fallback>
        </mc:AlternateContent>
      </w:r>
      <w:r w:rsidR="00B740BD" w:rsidRPr="005C302B">
        <w:rPr>
          <w:rFonts w:ascii="ＭＳ 明朝" w:hAnsi="ＭＳ 明朝" w:cs="Osaka" w:hint="eastAsia"/>
        </w:rPr>
        <w:br w:type="page"/>
      </w:r>
    </w:p>
    <w:p w:rsidR="00D55535" w:rsidRPr="005C302B" w:rsidRDefault="00D55535" w:rsidP="00D55535">
      <w:pPr>
        <w:pStyle w:val="a8"/>
        <w:jc w:val="center"/>
        <w:rPr>
          <w:rFonts w:ascii="ＭＳ 明朝" w:hAnsi="ＭＳ 明朝" w:cs="Osaka" w:hint="eastAsia"/>
        </w:rPr>
      </w:pPr>
    </w:p>
    <w:p w:rsidR="00B740BD" w:rsidRPr="005C302B" w:rsidRDefault="00B369F7" w:rsidP="00B740BD">
      <w:pPr>
        <w:pStyle w:val="a8"/>
        <w:jc w:val="center"/>
        <w:rPr>
          <w:rFonts w:ascii="ＭＳ 明朝" w:hAnsi="ＭＳ 明朝" w:cs="Osaka" w:hint="eastAsia"/>
        </w:rPr>
      </w:pPr>
      <w:r>
        <w:rPr>
          <w:rFonts w:ascii="ＭＳ 明朝" w:hAnsi="ＭＳ 明朝" w:cs="Osaka" w:hint="eastAsia"/>
          <w:noProof/>
        </w:rPr>
        <w:drawing>
          <wp:inline distT="0" distB="0" distL="0" distR="0">
            <wp:extent cx="4457700" cy="3514725"/>
            <wp:effectExtent l="0" t="0" r="0" b="0"/>
            <wp:docPr id="47" name="図 47" descr="C:\Users\arimori\Documents\各種委員活動\2023-_蛋白質科学会アーカイブ編集委員\1_資料\sample_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rimori\Documents\各種委員活動\2023-_蛋白質科学会アーカイブ編集委員\1_資料\sample_Fi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3514725"/>
                    </a:xfrm>
                    <a:prstGeom prst="rect">
                      <a:avLst/>
                    </a:prstGeom>
                    <a:noFill/>
                    <a:ln>
                      <a:noFill/>
                    </a:ln>
                  </pic:spPr>
                </pic:pic>
              </a:graphicData>
            </a:graphic>
          </wp:inline>
        </w:drawing>
      </w:r>
    </w:p>
    <w:p w:rsidR="00B740BD" w:rsidRPr="005C302B" w:rsidRDefault="00B740BD" w:rsidP="00B740BD">
      <w:pPr>
        <w:pStyle w:val="a8"/>
        <w:jc w:val="center"/>
        <w:rPr>
          <w:rFonts w:ascii="ＭＳ 明朝" w:hAnsi="ＭＳ 明朝" w:cs="Osaka" w:hint="eastAsia"/>
        </w:rPr>
      </w:pPr>
    </w:p>
    <w:p w:rsidR="00B740BD" w:rsidRPr="005C302B" w:rsidRDefault="00B369F7" w:rsidP="00B740BD">
      <w:pPr>
        <w:pStyle w:val="a8"/>
        <w:jc w:val="center"/>
        <w:rPr>
          <w:rFonts w:ascii="ＭＳ 明朝" w:hAnsi="ＭＳ 明朝" w:cs="Osaka" w:hint="eastAsia"/>
        </w:rPr>
      </w:pPr>
      <w:r>
        <w:rPr>
          <w:rFonts w:ascii="ＭＳ 明朝" w:hAnsi="ＭＳ 明朝" w:cs="Osaka" w:hint="eastAsia"/>
          <w:noProof/>
        </w:rPr>
        <mc:AlternateContent>
          <mc:Choice Requires="wps">
            <w:drawing>
              <wp:anchor distT="45720" distB="45720" distL="114300" distR="114300" simplePos="0" relativeHeight="251663360" behindDoc="0" locked="0" layoutInCell="1" allowOverlap="1">
                <wp:simplePos x="0" y="0"/>
                <wp:positionH relativeFrom="column">
                  <wp:posOffset>752475</wp:posOffset>
                </wp:positionH>
                <wp:positionV relativeFrom="paragraph">
                  <wp:posOffset>88265</wp:posOffset>
                </wp:positionV>
                <wp:extent cx="4616450" cy="17094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170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535" w:rsidRDefault="00D55535" w:rsidP="00D55535">
                            <w:pPr>
                              <w:rPr>
                                <w:rFonts w:ascii="ＭＳ ゴシック" w:eastAsia="ＭＳ ゴシック" w:hAnsi="ＭＳ ゴシック"/>
                                <w:color w:val="auto"/>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5</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リゾチームと免疫グロブリン由来ドメイン(A)と構造未知の精子蛋白質由来フラグメント(B)のCDスペクトル。結晶構造から見積もったリゾチーム、CLフラグメント、VHHドメインのヘリックス含量はそれぞれ50、10、3%であり、β構造含量は6、42、56％である。参考としてBにもリゾチームのCDスペクトルも示す。測定は20mM</w:t>
                            </w:r>
                            <w:r>
                              <w:rPr>
                                <w:rFonts w:ascii="ＭＳ ゴシック" w:eastAsia="ＭＳ ゴシック" w:hAnsi="ＭＳ ゴシック"/>
                                <w:color w:val="auto"/>
                                <w:sz w:val="28"/>
                              </w:rPr>
                              <w:t xml:space="preserve"> </w:t>
                            </w:r>
                            <w:r>
                              <w:rPr>
                                <w:rFonts w:ascii="ＭＳ ゴシック" w:eastAsia="ＭＳ ゴシック" w:hAnsi="ＭＳ ゴシック" w:hint="eastAsia"/>
                                <w:color w:val="auto"/>
                                <w:sz w:val="28"/>
                              </w:rPr>
                              <w:t>Tris-HCl(pH8.5)中で20℃で行った。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9.25pt;margin-top:6.95pt;width:363.5pt;height:134.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" filled="f" stroked="f">
                <v:textbox style="mso-fit-shape-to-text:t">
                  <w:txbxContent>
                    <w:p w:rsidR="00D55535" w:rsidRDefault="00D55535" w:rsidP="00D55535">
                      <w:pPr>
                        <w:rPr>
                          <w:rFonts w:ascii="ＭＳ ゴシック" w:eastAsia="ＭＳ ゴシック" w:hAnsi="ＭＳ ゴシック"/>
                          <w:color w:val="auto"/>
                          <w:sz w:val="28"/>
                        </w:rPr>
                      </w:pPr>
                      <w:r w:rsidRPr="00E20167">
                        <w:rPr>
                          <w:rFonts w:ascii="ＭＳ ゴシック" w:eastAsia="ＭＳ ゴシック" w:hAnsi="ＭＳ ゴシック" w:hint="eastAsia"/>
                          <w:color w:val="auto"/>
                          <w:sz w:val="28"/>
                        </w:rPr>
                        <w:t>図</w:t>
                      </w:r>
                      <w:r>
                        <w:rPr>
                          <w:rFonts w:ascii="ＭＳ ゴシック" w:eastAsia="ＭＳ ゴシック" w:hAnsi="ＭＳ ゴシック" w:hint="eastAsia"/>
                          <w:color w:val="auto"/>
                          <w:sz w:val="28"/>
                        </w:rPr>
                        <w:t>5</w:t>
                      </w:r>
                      <w:r w:rsidRPr="00E20167">
                        <w:rPr>
                          <w:rFonts w:ascii="ＭＳ ゴシック" w:eastAsia="ＭＳ ゴシック" w:hAnsi="ＭＳ ゴシック" w:hint="eastAsia"/>
                          <w:color w:val="auto"/>
                          <w:sz w:val="28"/>
                        </w:rPr>
                        <w:t>：</w:t>
                      </w:r>
                      <w:r>
                        <w:rPr>
                          <w:rFonts w:ascii="ＭＳ ゴシック" w:eastAsia="ＭＳ ゴシック" w:hAnsi="ＭＳ ゴシック" w:hint="eastAsia"/>
                          <w:color w:val="auto"/>
                          <w:sz w:val="28"/>
                        </w:rPr>
                        <w:t>リゾチームと免疫グロブリン由来ドメイン(A)と構造未知の精子蛋白質由来フラグメント(B)のCDスペクトル。結晶構造から見積もったリゾチーム、CLフラグメント、VHHドメインのヘリックス含量はそれぞれ50、10、3%であり、β構造含量は6、42、56％である。参考としてBにもリゾチームのCDスペクトルも示す。測定は20mM</w:t>
                      </w:r>
                      <w:r>
                        <w:rPr>
                          <w:rFonts w:ascii="ＭＳ ゴシック" w:eastAsia="ＭＳ ゴシック" w:hAnsi="ＭＳ ゴシック"/>
                          <w:color w:val="auto"/>
                          <w:sz w:val="28"/>
                        </w:rPr>
                        <w:t xml:space="preserve"> </w:t>
                      </w:r>
                      <w:r>
                        <w:rPr>
                          <w:rFonts w:ascii="ＭＳ ゴシック" w:eastAsia="ＭＳ ゴシック" w:hAnsi="ＭＳ ゴシック" w:hint="eastAsia"/>
                          <w:color w:val="auto"/>
                          <w:sz w:val="28"/>
                        </w:rPr>
                        <w:t>Tris-HCl(pH8.5)中で20℃で行った。</w:t>
                      </w:r>
                    </w:p>
                  </w:txbxContent>
                </v:textbox>
                <w10:wrap type="square"/>
              </v:shape>
            </w:pict>
          </mc:Fallback>
        </mc:AlternateContent>
      </w:r>
    </w:p>
    <w:sectPr w:rsidR="00B740BD" w:rsidRPr="005C302B" w:rsidSect="00930C9C">
      <w:headerReference w:type="default" r:id="rId12"/>
      <w:footerReference w:type="even" r:id="rId13"/>
      <w:footerReference w:type="default" r:id="rId14"/>
      <w:pgSz w:w="11904" w:h="16838"/>
      <w:pgMar w:top="1985" w:right="1151" w:bottom="1701" w:left="1151" w:header="850" w:footer="9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890" w:rsidRDefault="00C04890">
      <w:r>
        <w:separator/>
      </w:r>
    </w:p>
  </w:endnote>
  <w:endnote w:type="continuationSeparator" w:id="0">
    <w:p w:rsidR="00C04890" w:rsidRDefault="00C0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Osaka">
    <w:altName w:val="游ゴシック"/>
    <w:charset w:val="80"/>
    <w:family w:val="swiss"/>
    <w:pitch w:val="variable"/>
    <w:sig w:usb0="00000001" w:usb1="08070000" w:usb2="00000010" w:usb3="00000000" w:csb0="00020093" w:csb1="00000000"/>
  </w:font>
  <w:font w:name="ヒラギノ丸ゴ Pro W4">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0BD" w:rsidRDefault="00B740BD" w:rsidP="00B740B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740BD" w:rsidRDefault="00B740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0BD" w:rsidRDefault="00B740BD" w:rsidP="00B740B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E0780">
      <w:rPr>
        <w:rStyle w:val="ae"/>
        <w:noProof/>
      </w:rPr>
      <w:t>1</w:t>
    </w:r>
    <w:r>
      <w:rPr>
        <w:rStyle w:val="ae"/>
      </w:rPr>
      <w:fldChar w:fldCharType="end"/>
    </w:r>
  </w:p>
  <w:p w:rsidR="00B740BD" w:rsidRDefault="00B740BD" w:rsidP="00930C9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890" w:rsidRDefault="00C04890">
      <w:r>
        <w:separator/>
      </w:r>
    </w:p>
  </w:footnote>
  <w:footnote w:type="continuationSeparator" w:id="0">
    <w:p w:rsidR="00C04890" w:rsidRDefault="00C0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0BD" w:rsidRPr="005C302B" w:rsidRDefault="00B740BD" w:rsidP="00B740BD">
    <w:pPr>
      <w:pStyle w:val="aa"/>
      <w:rPr>
        <w:rFonts w:ascii="ＭＳ 明朝" w:hAnsi="ＭＳ 明朝"/>
      </w:rPr>
    </w:pPr>
    <w:r w:rsidRPr="00E207E5">
      <w:rPr>
        <w:rFonts w:ascii="ＭＳ 明朝" w:cs="ＭＳ 明朝" w:hint="eastAsia"/>
        <w:i/>
        <w:kern w:val="0"/>
      </w:rPr>
      <w:t>蛋白質科学会アーカイブ</w:t>
    </w:r>
    <w:r>
      <w:rPr>
        <w:rFonts w:ascii="ＭＳ 明朝" w:cs="ＭＳ 明朝"/>
        <w:kern w:val="0"/>
      </w:rPr>
      <w:t xml:space="preserve">, </w:t>
    </w:r>
    <w:r w:rsidRPr="00E207E5">
      <w:rPr>
        <w:rFonts w:ascii="ＭＳ 明朝" w:cs="ＭＳ 明朝"/>
        <w:b/>
        <w:kern w:val="0"/>
      </w:rPr>
      <w:t>1</w:t>
    </w:r>
    <w:r>
      <w:rPr>
        <w:rFonts w:ascii="ＭＳ 明朝" w:cs="ＭＳ 明朝"/>
        <w:kern w:val="0"/>
      </w:rPr>
      <w:t>, e002 (2008)</w:t>
    </w:r>
  </w:p>
  <w:p w:rsidR="00B740BD" w:rsidRDefault="00B740B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1A7"/>
    <w:multiLevelType w:val="hybridMultilevel"/>
    <w:tmpl w:val="00000000"/>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1" w15:restartNumberingAfterBreak="0">
    <w:nsid w:val="10D63AF1"/>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2" w15:restartNumberingAfterBreak="0">
    <w:nsid w:val="1C06DAC8"/>
    <w:multiLevelType w:val="multilevel"/>
    <w:tmpl w:val="3336F586"/>
    <w:styleLink w:val="TieredList"/>
    <w:lvl w:ilvl="0">
      <w:start w:val="1"/>
      <w:numFmt w:val="decimal"/>
      <w:lvlText w:val="%1."/>
      <w:lvlJc w:val="left"/>
      <w:pPr>
        <w:ind w:left="648" w:hanging="648"/>
      </w:pPr>
    </w:lvl>
    <w:lvl w:ilvl="1">
      <w:start w:val="1"/>
      <w:numFmt w:val="decimal"/>
      <w:lvlText w:val="%1.%2."/>
      <w:lvlJc w:val="left"/>
      <w:pPr>
        <w:ind w:left="868" w:hanging="868"/>
      </w:pPr>
    </w:lvl>
    <w:lvl w:ilvl="2">
      <w:start w:val="1"/>
      <w:numFmt w:val="decimal"/>
      <w:lvlText w:val="%1.%2.%3."/>
      <w:lvlJc w:val="left"/>
      <w:pPr>
        <w:ind w:left="1088" w:hanging="1088"/>
      </w:pPr>
    </w:lvl>
    <w:lvl w:ilvl="3">
      <w:start w:val="1"/>
      <w:numFmt w:val="decimal"/>
      <w:lvlText w:val="%1.%2.%3.%4."/>
      <w:lvlJc w:val="left"/>
      <w:pPr>
        <w:ind w:left="1308" w:hanging="1308"/>
      </w:pPr>
    </w:lvl>
    <w:lvl w:ilvl="4">
      <w:start w:val="1"/>
      <w:numFmt w:val="decimal"/>
      <w:lvlText w:val="%1.%2.%3.%4.%5."/>
      <w:lvlJc w:val="left"/>
      <w:pPr>
        <w:ind w:left="1528" w:hanging="1528"/>
      </w:pPr>
    </w:lvl>
    <w:lvl w:ilvl="5">
      <w:start w:val="1"/>
      <w:numFmt w:val="decimal"/>
      <w:lvlText w:val="%1.%2.%3.%4.%5.%6."/>
      <w:lvlJc w:val="left"/>
      <w:pPr>
        <w:ind w:left="1748" w:hanging="1748"/>
      </w:pPr>
    </w:lvl>
    <w:lvl w:ilvl="6">
      <w:start w:val="1"/>
      <w:numFmt w:val="decimal"/>
      <w:lvlText w:val="%1.%2.%3.%4.%5.%6.%7."/>
      <w:lvlJc w:val="left"/>
      <w:pPr>
        <w:ind w:left="1968" w:hanging="1968"/>
      </w:pPr>
    </w:lvl>
    <w:lvl w:ilvl="7">
      <w:start w:val="1"/>
      <w:numFmt w:val="decimal"/>
      <w:lvlText w:val="%1.%2.%3.%4.%5.%6.%7.%8."/>
      <w:lvlJc w:val="left"/>
      <w:pPr>
        <w:ind w:left="2188" w:hanging="2188"/>
      </w:pPr>
    </w:lvl>
    <w:lvl w:ilvl="8">
      <w:start w:val="1"/>
      <w:numFmt w:val="decimal"/>
      <w:lvlText w:val="%1.%2.%3.%4.%5.%6.%7.%8.%9."/>
      <w:lvlJc w:val="left"/>
      <w:pPr>
        <w:ind w:left="2408" w:hanging="2408"/>
      </w:pPr>
    </w:lvl>
  </w:abstractNum>
  <w:abstractNum w:abstractNumId="3" w15:restartNumberingAfterBreak="0">
    <w:nsid w:val="3AB50C2A"/>
    <w:multiLevelType w:val="hybridMultilevel"/>
    <w:tmpl w:val="00000000"/>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1"/>
      </w:pPr>
    </w:lvl>
    <w:lvl w:ilvl="2" w:tplc="FFFFFFFF">
      <w:start w:val="1"/>
      <w:numFmt w:val="lowerRoman"/>
      <w:lvlText w:val="%3."/>
      <w:lvlJc w:val="left"/>
      <w:pPr>
        <w:ind w:left="1440" w:hanging="431"/>
      </w:pPr>
    </w:lvl>
    <w:lvl w:ilvl="3" w:tplc="FFFFFFFF">
      <w:start w:val="1"/>
      <w:numFmt w:val="decimal"/>
      <w:lvlText w:val="(%4)"/>
      <w:lvlJc w:val="left"/>
      <w:pPr>
        <w:ind w:left="1800" w:hanging="431"/>
      </w:pPr>
    </w:lvl>
    <w:lvl w:ilvl="4" w:tplc="FFFFFFFF">
      <w:start w:val="1"/>
      <w:numFmt w:val="lowerLetter"/>
      <w:lvlText w:val="(%5)"/>
      <w:lvlJc w:val="left"/>
      <w:pPr>
        <w:ind w:left="2160" w:hanging="431"/>
      </w:pPr>
    </w:lvl>
    <w:lvl w:ilvl="5" w:tplc="FFFFFFFF">
      <w:start w:val="1"/>
      <w:numFmt w:val="lowerRoman"/>
      <w:lvlText w:val="(%6)"/>
      <w:lvlJc w:val="left"/>
      <w:pPr>
        <w:ind w:left="2520" w:hanging="431"/>
      </w:pPr>
    </w:lvl>
    <w:lvl w:ilvl="6" w:tplc="FFFFFFFF">
      <w:start w:val="1"/>
      <w:numFmt w:val="decimal"/>
      <w:lvlText w:val="%7)"/>
      <w:lvlJc w:val="left"/>
      <w:pPr>
        <w:ind w:left="2880" w:hanging="431"/>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4" w15:restartNumberingAfterBreak="0">
    <w:nsid w:val="4431B782"/>
    <w:multiLevelType w:val="multilevel"/>
    <w:tmpl w:val="D8085458"/>
    <w:styleLink w:val="Headings"/>
    <w:lvl w:ilvl="0">
      <w:start w:val="1"/>
      <w:numFmt w:val="decimal"/>
      <w:lvlText w:val="%1."/>
      <w:lvlJc w:val="left"/>
      <w:pPr>
        <w:ind w:left="576" w:hanging="576"/>
      </w:pPr>
    </w:lvl>
    <w:lvl w:ilvl="1">
      <w:start w:val="1"/>
      <w:numFmt w:val="decimal"/>
      <w:lvlText w:val="%1.%2."/>
      <w:lvlJc w:val="left"/>
      <w:pPr>
        <w:ind w:left="796" w:hanging="796"/>
      </w:pPr>
    </w:lvl>
    <w:lvl w:ilvl="2">
      <w:start w:val="1"/>
      <w:numFmt w:val="decimal"/>
      <w:lvlText w:val="%1.%2.%3."/>
      <w:lvlJc w:val="left"/>
      <w:pPr>
        <w:ind w:left="1016" w:hanging="1016"/>
      </w:pPr>
    </w:lvl>
    <w:lvl w:ilvl="3">
      <w:start w:val="1"/>
      <w:numFmt w:val="decimal"/>
      <w:lvlText w:val="%1.%2.%3.%4."/>
      <w:lvlJc w:val="left"/>
      <w:pPr>
        <w:ind w:left="1236" w:hanging="1236"/>
      </w:pPr>
    </w:lvl>
    <w:lvl w:ilvl="4">
      <w:start w:val="1"/>
      <w:numFmt w:val="decimal"/>
      <w:lvlText w:val="%1.%2.%3.%4.%5."/>
      <w:lvlJc w:val="left"/>
      <w:pPr>
        <w:ind w:left="1456" w:hanging="1456"/>
      </w:pPr>
    </w:lvl>
    <w:lvl w:ilvl="5">
      <w:start w:val="1"/>
      <w:numFmt w:val="decimal"/>
      <w:lvlText w:val="%1.%2.%3.%4.%5.%6."/>
      <w:lvlJc w:val="left"/>
      <w:pPr>
        <w:ind w:left="1676" w:hanging="1676"/>
      </w:pPr>
    </w:lvl>
    <w:lvl w:ilvl="6">
      <w:start w:val="1"/>
      <w:numFmt w:val="decimal"/>
      <w:lvlText w:val="%1.%2.%3.%4.%5.%6.%7."/>
      <w:lvlJc w:val="left"/>
      <w:pPr>
        <w:ind w:left="1896" w:hanging="1896"/>
      </w:pPr>
    </w:lvl>
    <w:lvl w:ilvl="7">
      <w:start w:val="1"/>
      <w:numFmt w:val="decimal"/>
      <w:lvlText w:val="%1.%2.%3.%4.%5.%6.%7.%8."/>
      <w:lvlJc w:val="left"/>
      <w:pPr>
        <w:ind w:left="2116" w:hanging="2116"/>
      </w:pPr>
    </w:lvl>
    <w:lvl w:ilvl="8">
      <w:start w:val="1"/>
      <w:numFmt w:val="decimal"/>
      <w:lvlText w:val="%1.%2.%3.%4.%5.%6.%7.%8.%9."/>
      <w:lvlJc w:val="left"/>
      <w:pPr>
        <w:ind w:left="2336" w:hanging="2336"/>
      </w:pPr>
    </w:lvl>
  </w:abstractNum>
  <w:abstractNum w:abstractNumId="5" w15:restartNumberingAfterBreak="0">
    <w:nsid w:val="60B7ACD9"/>
    <w:multiLevelType w:val="hybridMultilevel"/>
    <w:tmpl w:val="00000000"/>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1A"/>
    <w:rsid w:val="001809A3"/>
    <w:rsid w:val="003E0859"/>
    <w:rsid w:val="004E536D"/>
    <w:rsid w:val="005C302B"/>
    <w:rsid w:val="007E0780"/>
    <w:rsid w:val="008A7D5C"/>
    <w:rsid w:val="00930C9C"/>
    <w:rsid w:val="00A256FF"/>
    <w:rsid w:val="00B369F7"/>
    <w:rsid w:val="00B740BD"/>
    <w:rsid w:val="00C04890"/>
    <w:rsid w:val="00D55535"/>
    <w:rsid w:val="00E20167"/>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E61837"/>
  <w14:defaultImageDpi w14:val="300"/>
  <w15:chartTrackingRefBased/>
  <w15:docId w15:val="{29FFED90-A165-4947-8E45-AA4881D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pPr>
    <w:rPr>
      <w:rFonts w:ascii="Times" w:hAnsi="Times" w:cs="Times"/>
      <w:color w:val="000000"/>
      <w:kern w:val="2"/>
      <w:sz w:val="24"/>
      <w:szCs w:val="24"/>
    </w:rPr>
  </w:style>
  <w:style w:type="character" w:default="1" w:styleId="a0">
    <w:name w:val="Default Paragraph Font"/>
    <w:uiPriority w:val="99"/>
    <w:semiHidden/>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Footnote">
    <w:name w:val="Footnote"/>
    <w:basedOn w:val="a"/>
    <w:uiPriority w:val="99"/>
    <w:pPr>
      <w:widowControl w:val="0"/>
    </w:pPr>
    <w:rPr>
      <w:rFonts w:cs="Times New Roman"/>
      <w:color w:val="auto"/>
    </w:rPr>
  </w:style>
  <w:style w:type="character" w:styleId="a3">
    <w:name w:val="footnote reference"/>
    <w:uiPriority w:val="99"/>
    <w:rPr>
      <w:rFonts w:cs="Times New Roman"/>
      <w:vertAlign w:val="superscript"/>
    </w:rPr>
  </w:style>
  <w:style w:type="character" w:styleId="a4">
    <w:name w:val="endnote reference"/>
    <w:uiPriority w:val="99"/>
    <w:rPr>
      <w:rFonts w:cs="Times New Roman"/>
      <w:vertAlign w:val="superscript"/>
    </w:rPr>
  </w:style>
  <w:style w:type="paragraph" w:customStyle="1" w:styleId="Endnote">
    <w:name w:val="Endnote"/>
    <w:basedOn w:val="a"/>
    <w:uiPriority w:val="99"/>
    <w:rPr>
      <w:rFonts w:cs="Times New Roman"/>
      <w:color w:val="auto"/>
    </w:rPr>
  </w:style>
  <w:style w:type="paragraph" w:customStyle="1" w:styleId="Heading1">
    <w:name w:val="Heading 1"/>
    <w:basedOn w:val="a"/>
    <w:next w:val="a"/>
    <w:uiPriority w:val="99"/>
    <w:pPr>
      <w:spacing w:before="120"/>
    </w:pPr>
    <w:rPr>
      <w:rFonts w:cs="Times New Roman"/>
      <w:b/>
      <w:bCs/>
      <w:color w:val="auto"/>
      <w:sz w:val="28"/>
      <w:szCs w:val="28"/>
    </w:rPr>
  </w:style>
  <w:style w:type="paragraph" w:customStyle="1" w:styleId="Heading2">
    <w:name w:val="Heading 2"/>
    <w:basedOn w:val="Heading1"/>
    <w:next w:val="a"/>
    <w:uiPriority w:val="99"/>
    <w:rPr>
      <w:b w:val="0"/>
      <w:bCs w:val="0"/>
      <w:sz w:val="26"/>
      <w:szCs w:val="26"/>
    </w:rPr>
  </w:style>
  <w:style w:type="paragraph" w:customStyle="1" w:styleId="Heading3">
    <w:name w:val="Heading 3"/>
    <w:basedOn w:val="Heading2"/>
    <w:next w:val="a"/>
    <w:uiPriority w:val="99"/>
    <w:rPr>
      <w:i/>
      <w:iCs/>
      <w:sz w:val="24"/>
      <w:szCs w:val="24"/>
    </w:rPr>
  </w:style>
  <w:style w:type="paragraph" w:customStyle="1" w:styleId="Header">
    <w:name w:val="Header"/>
    <w:basedOn w:val="a"/>
    <w:uiPriority w:val="99"/>
    <w:rPr>
      <w:rFonts w:cs="Times New Roman"/>
      <w:color w:val="auto"/>
    </w:rPr>
  </w:style>
  <w:style w:type="paragraph" w:styleId="a5">
    <w:name w:val="Title"/>
    <w:basedOn w:val="a"/>
    <w:next w:val="a"/>
    <w:link w:val="a6"/>
    <w:uiPriority w:val="99"/>
    <w:qFormat/>
    <w:pPr>
      <w:jc w:val="center"/>
    </w:pPr>
    <w:rPr>
      <w:rFonts w:cs="Times New Roman"/>
      <w:b/>
      <w:bCs/>
      <w:color w:val="auto"/>
      <w:sz w:val="28"/>
      <w:szCs w:val="28"/>
    </w:rPr>
  </w:style>
  <w:style w:type="character" w:customStyle="1" w:styleId="a6">
    <w:name w:val="表題 (文字)"/>
    <w:link w:val="a5"/>
    <w:uiPriority w:val="99"/>
    <w:locked/>
    <w:rPr>
      <w:rFonts w:ascii="Arial" w:eastAsia="ＭＳ ゴシック" w:hAnsi="Arial" w:cs="Times New Roman"/>
      <w:color w:val="000000"/>
      <w:sz w:val="32"/>
    </w:rPr>
  </w:style>
  <w:style w:type="paragraph" w:customStyle="1" w:styleId="Footer">
    <w:name w:val="Footer"/>
    <w:basedOn w:val="a"/>
    <w:uiPriority w:val="99"/>
    <w:rPr>
      <w:rFonts w:cs="Times New Roman"/>
      <w:color w:val="auto"/>
    </w:rPr>
  </w:style>
  <w:style w:type="paragraph" w:customStyle="1" w:styleId="BlockQuote">
    <w:name w:val="Block Quote"/>
    <w:basedOn w:val="a"/>
    <w:uiPriority w:val="99"/>
    <w:pPr>
      <w:ind w:left="1080" w:right="1020"/>
    </w:pPr>
    <w:rPr>
      <w:rFonts w:cs="Times New Roman"/>
      <w:color w:val="auto"/>
    </w:rPr>
  </w:style>
  <w:style w:type="character" w:customStyle="1" w:styleId="Emphatic">
    <w:name w:val="Emphatic"/>
    <w:uiPriority w:val="99"/>
    <w:rPr>
      <w:i/>
    </w:rPr>
  </w:style>
  <w:style w:type="paragraph" w:customStyle="1" w:styleId="Heading4">
    <w:name w:val="Heading 4"/>
    <w:basedOn w:val="Heading3"/>
    <w:next w:val="a"/>
    <w:uiPriority w:val="99"/>
    <w:rPr>
      <w:i w:val="0"/>
      <w:iCs w:val="0"/>
    </w:rPr>
  </w:style>
  <w:style w:type="paragraph" w:customStyle="1" w:styleId="Heading5">
    <w:name w:val="Heading 5"/>
    <w:basedOn w:val="Heading4"/>
    <w:next w:val="a"/>
    <w:uiPriority w:val="99"/>
    <w:rPr>
      <w:u w:val="single"/>
    </w:rPr>
  </w:style>
  <w:style w:type="paragraph" w:customStyle="1" w:styleId="Heading6">
    <w:name w:val="Heading 6"/>
    <w:basedOn w:val="Heading5"/>
    <w:next w:val="a"/>
    <w:uiPriority w:val="99"/>
    <w:rPr>
      <w:i/>
      <w:iCs/>
      <w:u w:val="none"/>
    </w:rPr>
  </w:style>
  <w:style w:type="character" w:styleId="a7">
    <w:name w:val="Strong"/>
    <w:uiPriority w:val="99"/>
    <w:qFormat/>
    <w:rPr>
      <w:rFonts w:cs="Times New Roman"/>
      <w:b/>
      <w:bCs/>
    </w:rPr>
  </w:style>
  <w:style w:type="paragraph" w:styleId="a8">
    <w:name w:val="Plain Text"/>
    <w:basedOn w:val="a"/>
    <w:link w:val="a9"/>
    <w:uiPriority w:val="99"/>
    <w:rPr>
      <w:rFonts w:cs="Times New Roman"/>
      <w:color w:val="auto"/>
    </w:rPr>
  </w:style>
  <w:style w:type="character" w:customStyle="1" w:styleId="a9">
    <w:name w:val="書式なし (文字)"/>
    <w:link w:val="a8"/>
    <w:uiPriority w:val="99"/>
    <w:semiHidden/>
    <w:locked/>
    <w:rPr>
      <w:rFonts w:ascii="ＭＳ 明朝" w:eastAsia="ＭＳ 明朝" w:hAnsi="Courier" w:cs="Times"/>
      <w:color w:val="000000"/>
    </w:rPr>
  </w:style>
  <w:style w:type="numbering" w:customStyle="1" w:styleId="LetteredList">
    <w:name w:val="Lettered List"/>
    <w:pPr>
      <w:numPr>
        <w:numId w:val="1"/>
      </w:numPr>
    </w:pPr>
  </w:style>
  <w:style w:type="numbering" w:customStyle="1" w:styleId="BulletList">
    <w:name w:val="Bullet List"/>
    <w:pPr>
      <w:numPr>
        <w:numId w:val="2"/>
      </w:numPr>
    </w:pPr>
  </w:style>
  <w:style w:type="numbering" w:customStyle="1" w:styleId="TieredList">
    <w:name w:val="Tiered List"/>
    <w:pPr>
      <w:numPr>
        <w:numId w:val="6"/>
      </w:numPr>
    </w:pPr>
  </w:style>
  <w:style w:type="numbering" w:customStyle="1" w:styleId="NumberList">
    <w:name w:val="Number List"/>
    <w:pPr>
      <w:numPr>
        <w:numId w:val="4"/>
      </w:numPr>
    </w:pPr>
  </w:style>
  <w:style w:type="numbering" w:customStyle="1" w:styleId="Headings">
    <w:name w:val="Headings"/>
    <w:pPr>
      <w:numPr>
        <w:numId w:val="5"/>
      </w:numPr>
    </w:pPr>
  </w:style>
  <w:style w:type="numbering" w:customStyle="1" w:styleId="Outline">
    <w:name w:val="Outline"/>
    <w:pPr>
      <w:numPr>
        <w:numId w:val="3"/>
      </w:numPr>
    </w:pPr>
  </w:style>
  <w:style w:type="paragraph" w:styleId="aa">
    <w:name w:val="header"/>
    <w:basedOn w:val="a"/>
    <w:link w:val="ab"/>
    <w:uiPriority w:val="99"/>
    <w:unhideWhenUsed/>
    <w:rsid w:val="00D67054"/>
    <w:pPr>
      <w:tabs>
        <w:tab w:val="center" w:pos="4252"/>
        <w:tab w:val="right" w:pos="8504"/>
      </w:tabs>
      <w:snapToGrid w:val="0"/>
    </w:pPr>
  </w:style>
  <w:style w:type="character" w:customStyle="1" w:styleId="ab">
    <w:name w:val="ヘッダー (文字)"/>
    <w:link w:val="aa"/>
    <w:uiPriority w:val="99"/>
    <w:rsid w:val="00D67054"/>
    <w:rPr>
      <w:rFonts w:ascii="Times" w:hAnsi="Times" w:cs="Times"/>
      <w:color w:val="000000"/>
      <w:kern w:val="2"/>
      <w:sz w:val="24"/>
      <w:szCs w:val="24"/>
    </w:rPr>
  </w:style>
  <w:style w:type="paragraph" w:styleId="ac">
    <w:name w:val="footer"/>
    <w:basedOn w:val="a"/>
    <w:link w:val="ad"/>
    <w:uiPriority w:val="99"/>
    <w:unhideWhenUsed/>
    <w:rsid w:val="00D67054"/>
    <w:pPr>
      <w:tabs>
        <w:tab w:val="center" w:pos="4252"/>
        <w:tab w:val="right" w:pos="8504"/>
      </w:tabs>
      <w:snapToGrid w:val="0"/>
    </w:pPr>
  </w:style>
  <w:style w:type="character" w:customStyle="1" w:styleId="ad">
    <w:name w:val="フッター (文字)"/>
    <w:link w:val="ac"/>
    <w:uiPriority w:val="99"/>
    <w:rsid w:val="00D67054"/>
    <w:rPr>
      <w:rFonts w:ascii="Times" w:hAnsi="Times" w:cs="Times"/>
      <w:color w:val="000000"/>
      <w:kern w:val="2"/>
      <w:sz w:val="24"/>
      <w:szCs w:val="24"/>
    </w:rPr>
  </w:style>
  <w:style w:type="character" w:styleId="ae">
    <w:name w:val="page number"/>
    <w:basedOn w:val="a0"/>
    <w:uiPriority w:val="99"/>
    <w:semiHidden/>
    <w:unhideWhenUsed/>
    <w:rsid w:val="00D67054"/>
  </w:style>
  <w:style w:type="paragraph" w:styleId="af">
    <w:name w:val="No Spacing"/>
    <w:link w:val="af0"/>
    <w:uiPriority w:val="1"/>
    <w:qFormat/>
    <w:rsid w:val="00E20167"/>
    <w:rPr>
      <w:rFonts w:ascii="游明朝" w:eastAsia="游明朝" w:hAnsi="游明朝"/>
      <w:sz w:val="22"/>
      <w:szCs w:val="22"/>
    </w:rPr>
  </w:style>
  <w:style w:type="character" w:customStyle="1" w:styleId="af0">
    <w:name w:val="行間詰め (文字)"/>
    <w:link w:val="af"/>
    <w:uiPriority w:val="1"/>
    <w:rsid w:val="00E20167"/>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義久</dc:creator>
  <cp:keywords/>
  <cp:lastModifiedBy>arimori</cp:lastModifiedBy>
  <cp:revision>2</cp:revision>
  <cp:lastPrinted>2008-08-30T09:59:00Z</cp:lastPrinted>
  <dcterms:created xsi:type="dcterms:W3CDTF">2025-04-28T02:41:00Z</dcterms:created>
  <dcterms:modified xsi:type="dcterms:W3CDTF">2025-04-28T02:41:00Z</dcterms:modified>
</cp:coreProperties>
</file>